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rsidR="00491976" w:rsidRPr="008521C0" w:rsidRDefault="0048217E" w:rsidP="008E1EAE">
            <w:pPr>
              <w:jc w:val="center"/>
              <w:rPr>
                <w:b/>
              </w:rPr>
            </w:pPr>
            <w:r w:rsidRPr="008521C0">
              <w:t>11 September 2019</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8521C0" w:rsidRDefault="00491976" w:rsidP="00AC4A99">
            <w:pPr>
              <w:rPr>
                <w:b/>
              </w:rPr>
            </w:pPr>
          </w:p>
          <w:p w:rsidR="00491976" w:rsidRPr="008521C0" w:rsidRDefault="0048217E" w:rsidP="00AC4A99">
            <w:r w:rsidRPr="008521C0">
              <w:t>Single Use Plastics Strategy</w:t>
            </w:r>
          </w:p>
          <w:p w:rsidR="00491976" w:rsidRPr="008521C0" w:rsidRDefault="00491976" w:rsidP="00AC4A99">
            <w:pPr>
              <w:rPr>
                <w:b/>
              </w:rPr>
            </w:pPr>
          </w:p>
        </w:tc>
        <w:tc>
          <w:tcPr>
            <w:tcW w:w="2410" w:type="dxa"/>
            <w:vAlign w:val="center"/>
          </w:tcPr>
          <w:p w:rsidR="00491976" w:rsidRPr="008521C0" w:rsidRDefault="0048217E" w:rsidP="00491976">
            <w:pPr>
              <w:jc w:val="center"/>
              <w:rPr>
                <w:b/>
              </w:rPr>
            </w:pPr>
            <w:r w:rsidRPr="008521C0">
              <w:t>Environment</w:t>
            </w:r>
          </w:p>
        </w:tc>
        <w:tc>
          <w:tcPr>
            <w:tcW w:w="2551" w:type="dxa"/>
            <w:vAlign w:val="center"/>
          </w:tcPr>
          <w:p w:rsidR="00491976" w:rsidRPr="008521C0" w:rsidRDefault="0048217E" w:rsidP="0048217E">
            <w:pPr>
              <w:jc w:val="center"/>
            </w:pPr>
            <w:r w:rsidRPr="008521C0">
              <w:t>Director of Neighbourhoods and Development</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Default="002F5C5E" w:rsidP="00AC4A99">
            <w:pPr>
              <w:rPr>
                <w:szCs w:val="22"/>
              </w:rPr>
            </w:pP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Pr="00DE5E12" w:rsidRDefault="002F5C5E" w:rsidP="00AC4A99">
            <w:pPr>
              <w:rPr>
                <w:i/>
                <w:color w:val="0070C0"/>
                <w:szCs w:val="22"/>
              </w:rPr>
            </w:pPr>
          </w:p>
          <w:p w:rsidR="002F5C5E" w:rsidRDefault="002F5C5E" w:rsidP="00AC4A99">
            <w:pPr>
              <w:rPr>
                <w:szCs w:val="22"/>
              </w:rPr>
            </w:pPr>
          </w:p>
          <w:p w:rsidR="00E50A9C" w:rsidRDefault="00E50A9C" w:rsidP="00AC4A99">
            <w:pPr>
              <w:rPr>
                <w:szCs w:val="22"/>
              </w:rPr>
            </w:pPr>
            <w:r>
              <w:rPr>
                <w:szCs w:val="22"/>
              </w:rPr>
              <w:t>Is this report confidential?</w:t>
            </w:r>
          </w:p>
          <w:p w:rsidR="00BD2AFE" w:rsidRPr="009C1143" w:rsidRDefault="00BD2AFE" w:rsidP="0048217E">
            <w:pPr>
              <w:rPr>
                <w:szCs w:val="22"/>
              </w:rPr>
            </w:pPr>
          </w:p>
        </w:tc>
        <w:tc>
          <w:tcPr>
            <w:tcW w:w="3266" w:type="dxa"/>
            <w:shd w:val="clear" w:color="auto" w:fill="auto"/>
          </w:tcPr>
          <w:p w:rsidR="002F5C5E" w:rsidRPr="009C1143" w:rsidRDefault="002F5C5E" w:rsidP="0048217E">
            <w:pPr>
              <w:rPr>
                <w:i/>
                <w:color w:val="0070C0"/>
                <w:szCs w:val="22"/>
              </w:rPr>
            </w:pPr>
            <w:r w:rsidRPr="00F3057A">
              <w:rPr>
                <w:b/>
                <w:szCs w:val="22"/>
              </w:rPr>
              <w:t xml:space="preserve">Yes   </w:t>
            </w:r>
          </w:p>
          <w:p w:rsidR="002F5C5E" w:rsidRDefault="002F5C5E" w:rsidP="00AC4A99">
            <w:pPr>
              <w:rPr>
                <w:szCs w:val="22"/>
              </w:rPr>
            </w:pPr>
          </w:p>
          <w:p w:rsidR="0048217E" w:rsidRPr="009C1143" w:rsidRDefault="0048217E" w:rsidP="00AC4A99">
            <w:pPr>
              <w:rPr>
                <w:szCs w:val="22"/>
              </w:rPr>
            </w:pPr>
          </w:p>
          <w:p w:rsidR="00594D09" w:rsidRPr="009C1143" w:rsidRDefault="002F5C5E" w:rsidP="0048217E">
            <w:pPr>
              <w:rPr>
                <w:i/>
                <w:color w:val="0070C0"/>
                <w:szCs w:val="22"/>
              </w:rPr>
            </w:pPr>
            <w:r w:rsidRPr="00F3057A">
              <w:rPr>
                <w:b/>
                <w:szCs w:val="22"/>
              </w:rPr>
              <w:t xml:space="preserve">Yes   </w:t>
            </w:r>
          </w:p>
          <w:p w:rsidR="002F5C5E" w:rsidRDefault="002F5C5E" w:rsidP="00AC4A99">
            <w:pPr>
              <w:rPr>
                <w:b/>
                <w:szCs w:val="22"/>
              </w:rPr>
            </w:pPr>
          </w:p>
          <w:p w:rsidR="0048217E" w:rsidRPr="00F3057A" w:rsidRDefault="0048217E" w:rsidP="00AC4A99">
            <w:pPr>
              <w:rPr>
                <w:b/>
                <w:szCs w:val="22"/>
              </w:rPr>
            </w:pPr>
          </w:p>
          <w:p w:rsidR="002F5C5E" w:rsidRDefault="002F5C5E" w:rsidP="00AC4A99">
            <w:pPr>
              <w:rPr>
                <w:b/>
                <w:szCs w:val="22"/>
              </w:rPr>
            </w:pPr>
            <w:r w:rsidRPr="00F3057A">
              <w:rPr>
                <w:b/>
                <w:szCs w:val="22"/>
              </w:rPr>
              <w:t>No</w:t>
            </w:r>
          </w:p>
          <w:p w:rsidR="00E50A9C" w:rsidRDefault="00E50A9C" w:rsidP="00AC4A99">
            <w:pPr>
              <w:rPr>
                <w:b/>
                <w:szCs w:val="22"/>
              </w:rPr>
            </w:pPr>
          </w:p>
          <w:p w:rsidR="0048217E" w:rsidRDefault="0048217E" w:rsidP="00AC4A99">
            <w:pPr>
              <w:rPr>
                <w:b/>
                <w:szCs w:val="22"/>
              </w:rPr>
            </w:pPr>
          </w:p>
          <w:p w:rsidR="00E50A9C" w:rsidRDefault="00E50A9C" w:rsidP="00AC4A99">
            <w:pPr>
              <w:rPr>
                <w:b/>
                <w:szCs w:val="22"/>
              </w:rPr>
            </w:pPr>
          </w:p>
          <w:p w:rsidR="00E50A9C" w:rsidRDefault="00E50A9C" w:rsidP="00AC4A99">
            <w:pPr>
              <w:rPr>
                <w:b/>
                <w:szCs w:val="22"/>
              </w:rPr>
            </w:pPr>
            <w:r>
              <w:rPr>
                <w:b/>
                <w:szCs w:val="22"/>
              </w:rPr>
              <w:t>No</w:t>
            </w:r>
          </w:p>
          <w:p w:rsidR="00594D09" w:rsidRPr="009C1143" w:rsidRDefault="00594D09" w:rsidP="0048217E">
            <w:pPr>
              <w:rPr>
                <w:szCs w:val="22"/>
              </w:rPr>
            </w:pPr>
          </w:p>
        </w:tc>
      </w:tr>
    </w:tbl>
    <w:p w:rsidR="002C71DE" w:rsidRDefault="002C71DE" w:rsidP="00594D09">
      <w:pPr>
        <w:keepNext/>
        <w:outlineLvl w:val="0"/>
        <w:rPr>
          <w:color w:val="000000"/>
          <w:szCs w:val="22"/>
        </w:rPr>
      </w:pPr>
    </w:p>
    <w:p w:rsidR="002C71DE" w:rsidRPr="00833F9E" w:rsidRDefault="002C71DE" w:rsidP="002C71DE">
      <w:pPr>
        <w:jc w:val="center"/>
        <w:rPr>
          <w:b/>
          <w:color w:val="5B9BD5" w:themeColor="accent1"/>
          <w:sz w:val="16"/>
          <w:szCs w:val="16"/>
        </w:rPr>
      </w:pPr>
    </w:p>
    <w:p w:rsidR="002C71DE" w:rsidRDefault="002C71DE" w:rsidP="00594D09">
      <w:pPr>
        <w:keepNext/>
        <w:outlineLvl w:val="0"/>
        <w:rPr>
          <w:b/>
          <w:szCs w:val="22"/>
        </w:rPr>
      </w:pPr>
    </w:p>
    <w:p w:rsidR="008C04DA" w:rsidRDefault="002F5C5E" w:rsidP="00594D09">
      <w:pPr>
        <w:keepNext/>
        <w:outlineLvl w:val="0"/>
        <w:rPr>
          <w:b/>
          <w:szCs w:val="22"/>
        </w:rPr>
      </w:pPr>
      <w:r w:rsidRPr="009C1143">
        <w:rPr>
          <w:b/>
          <w:szCs w:val="22"/>
        </w:rPr>
        <w:t xml:space="preserve">PURPOSE OF THE REPORT </w:t>
      </w:r>
    </w:p>
    <w:p w:rsidR="007A0801" w:rsidRDefault="007A0801" w:rsidP="006F095D">
      <w:pPr>
        <w:keepNext/>
        <w:jc w:val="both"/>
        <w:outlineLvl w:val="0"/>
        <w:rPr>
          <w:b/>
          <w:szCs w:val="22"/>
        </w:rPr>
      </w:pPr>
    </w:p>
    <w:p w:rsidR="002F5C5E" w:rsidRPr="008E1EAE" w:rsidRDefault="0048217E" w:rsidP="006F095D">
      <w:pPr>
        <w:pStyle w:val="ListParagraph"/>
        <w:keepNext/>
        <w:numPr>
          <w:ilvl w:val="0"/>
          <w:numId w:val="8"/>
        </w:numPr>
        <w:jc w:val="both"/>
        <w:outlineLvl w:val="0"/>
        <w:rPr>
          <w:rFonts w:ascii="Arial" w:hAnsi="Arial" w:cs="Arial"/>
          <w:b/>
        </w:rPr>
      </w:pPr>
      <w:r w:rsidRPr="008E1EAE">
        <w:rPr>
          <w:rFonts w:ascii="Arial" w:hAnsi="Arial" w:cs="Arial"/>
        </w:rPr>
        <w:t xml:space="preserve">To request Cabinet adopt and support the Council’s Strategy on the reduction of ‘Single Use </w:t>
      </w:r>
      <w:r w:rsidR="00B9238D" w:rsidRPr="008E1EAE">
        <w:rPr>
          <w:rFonts w:ascii="Arial" w:hAnsi="Arial" w:cs="Arial"/>
        </w:rPr>
        <w:t>P</w:t>
      </w:r>
      <w:r w:rsidRPr="008E1EAE">
        <w:rPr>
          <w:rFonts w:ascii="Arial" w:hAnsi="Arial" w:cs="Arial"/>
        </w:rPr>
        <w:t>lastics’ within all Council operations, as part of the work of the Climate Emergency Task Group.</w:t>
      </w:r>
    </w:p>
    <w:p w:rsidR="002F5C5E" w:rsidRPr="009C1143" w:rsidRDefault="002F5C5E" w:rsidP="006F095D">
      <w:pPr>
        <w:jc w:val="both"/>
        <w:rPr>
          <w:szCs w:val="22"/>
        </w:rPr>
      </w:pPr>
    </w:p>
    <w:p w:rsidR="002F5C5E" w:rsidRDefault="00491976" w:rsidP="006F095D">
      <w:pPr>
        <w:keepNext/>
        <w:jc w:val="both"/>
        <w:outlineLvl w:val="0"/>
        <w:rPr>
          <w:b/>
          <w:szCs w:val="22"/>
        </w:rPr>
      </w:pPr>
      <w:r>
        <w:rPr>
          <w:b/>
          <w:szCs w:val="22"/>
        </w:rPr>
        <w:t>PORTFOLIO</w:t>
      </w:r>
      <w:r w:rsidR="00A162DE">
        <w:rPr>
          <w:b/>
          <w:szCs w:val="22"/>
        </w:rPr>
        <w:t xml:space="preserve"> </w:t>
      </w:r>
      <w:r w:rsidR="002F5C5E" w:rsidRPr="009C1143">
        <w:rPr>
          <w:b/>
          <w:szCs w:val="22"/>
        </w:rPr>
        <w:t>RECOMMENDATIONS</w:t>
      </w:r>
    </w:p>
    <w:p w:rsidR="007A0801" w:rsidRDefault="007A0801" w:rsidP="006F095D">
      <w:pPr>
        <w:keepNext/>
        <w:ind w:left="567"/>
        <w:jc w:val="both"/>
        <w:outlineLvl w:val="0"/>
        <w:rPr>
          <w:b/>
          <w:szCs w:val="22"/>
        </w:rPr>
      </w:pPr>
    </w:p>
    <w:p w:rsidR="002F5C5E" w:rsidRPr="008E1EAE" w:rsidRDefault="003F6913" w:rsidP="006F095D">
      <w:pPr>
        <w:pStyle w:val="ListParagraph"/>
        <w:keepNext/>
        <w:numPr>
          <w:ilvl w:val="0"/>
          <w:numId w:val="8"/>
        </w:numPr>
        <w:jc w:val="both"/>
        <w:outlineLvl w:val="0"/>
        <w:rPr>
          <w:rFonts w:ascii="Arial" w:hAnsi="Arial" w:cs="Arial"/>
          <w:b/>
        </w:rPr>
      </w:pPr>
      <w:r w:rsidRPr="008E1EAE">
        <w:rPr>
          <w:rFonts w:ascii="Arial" w:hAnsi="Arial" w:cs="Arial"/>
        </w:rPr>
        <w:t xml:space="preserve">That the Single Use Plastics Strategy be adopted and the Climate Emergency Task Group be given the lead to develop, implement and achieve the goals of the Strategy with a view to reducing the amount of single use plastics used </w:t>
      </w:r>
      <w:r w:rsidR="00702D95" w:rsidRPr="008E1EAE">
        <w:rPr>
          <w:rFonts w:ascii="Arial" w:hAnsi="Arial" w:cs="Arial"/>
        </w:rPr>
        <w:t>in</w:t>
      </w:r>
      <w:r w:rsidRPr="008E1EAE">
        <w:rPr>
          <w:rFonts w:ascii="Arial" w:hAnsi="Arial" w:cs="Arial"/>
        </w:rPr>
        <w:t xml:space="preserve"> Council operations.</w:t>
      </w:r>
    </w:p>
    <w:p w:rsidR="002F5C5E" w:rsidRPr="00970C70" w:rsidRDefault="002F5C5E" w:rsidP="006F095D">
      <w:pPr>
        <w:jc w:val="both"/>
        <w:rPr>
          <w:i/>
          <w:color w:val="2E74B5" w:themeColor="accent1" w:themeShade="BF"/>
          <w:szCs w:val="22"/>
        </w:rPr>
      </w:pPr>
    </w:p>
    <w:p w:rsidR="00BD2AFE" w:rsidRPr="002C71DE" w:rsidRDefault="00CC4337" w:rsidP="006F095D">
      <w:pPr>
        <w:jc w:val="both"/>
        <w:rPr>
          <w:b/>
          <w:color w:val="000000"/>
          <w:szCs w:val="22"/>
        </w:rPr>
      </w:pPr>
      <w:r w:rsidRPr="002C71DE">
        <w:rPr>
          <w:b/>
          <w:color w:val="000000"/>
          <w:szCs w:val="22"/>
        </w:rPr>
        <w:t>REASONS FOR THE DECISION</w:t>
      </w:r>
    </w:p>
    <w:p w:rsidR="007A0801" w:rsidRPr="00970C70" w:rsidRDefault="007A0801" w:rsidP="006F095D">
      <w:pPr>
        <w:ind w:left="567"/>
        <w:jc w:val="both"/>
        <w:rPr>
          <w:b/>
          <w:i/>
          <w:color w:val="2E74B5" w:themeColor="accent1" w:themeShade="BF"/>
          <w:szCs w:val="22"/>
        </w:rPr>
      </w:pPr>
    </w:p>
    <w:p w:rsidR="00C1588B" w:rsidRPr="008E1EAE" w:rsidRDefault="003F6913" w:rsidP="006F095D">
      <w:pPr>
        <w:pStyle w:val="ListParagraph"/>
        <w:numPr>
          <w:ilvl w:val="0"/>
          <w:numId w:val="8"/>
        </w:numPr>
        <w:autoSpaceDE w:val="0"/>
        <w:autoSpaceDN w:val="0"/>
        <w:adjustRightInd w:val="0"/>
        <w:ind w:right="804"/>
        <w:jc w:val="both"/>
        <w:rPr>
          <w:rFonts w:ascii="Arial" w:hAnsi="Arial" w:cs="Arial"/>
          <w:iCs/>
        </w:rPr>
      </w:pPr>
      <w:r w:rsidRPr="008E1EAE">
        <w:rPr>
          <w:rFonts w:ascii="Arial" w:hAnsi="Arial" w:cs="Arial"/>
          <w:iCs/>
        </w:rPr>
        <w:t>It is estimated that 8.3 billion tonnes of plastic have been produced since the 1950s.</w:t>
      </w:r>
      <w:r w:rsidR="00C1588B" w:rsidRPr="008E1EAE">
        <w:rPr>
          <w:rFonts w:ascii="Arial" w:hAnsi="Arial" w:cs="Arial"/>
          <w:iCs/>
        </w:rPr>
        <w:t xml:space="preserve"> </w:t>
      </w:r>
      <w:r w:rsidRPr="008E1EAE">
        <w:rPr>
          <w:rFonts w:ascii="Arial" w:hAnsi="Arial" w:cs="Arial"/>
          <w:iCs/>
        </w:rPr>
        <w:t xml:space="preserve">Without urgent action to cut demand, this is likely to be 34 billion tonnes by 2050, the majority of which will </w:t>
      </w:r>
      <w:r w:rsidR="00702D95" w:rsidRPr="008E1EAE">
        <w:rPr>
          <w:rFonts w:ascii="Arial" w:hAnsi="Arial" w:cs="Arial"/>
          <w:iCs/>
        </w:rPr>
        <w:t xml:space="preserve">either </w:t>
      </w:r>
      <w:r w:rsidRPr="008E1EAE">
        <w:rPr>
          <w:rFonts w:ascii="Arial" w:hAnsi="Arial" w:cs="Arial"/>
          <w:iCs/>
        </w:rPr>
        <w:t>end up in landfill or polluting the world’s continents and oceans</w:t>
      </w:r>
      <w:r w:rsidR="00C1588B" w:rsidRPr="008E1EAE">
        <w:rPr>
          <w:rFonts w:ascii="Arial" w:hAnsi="Arial" w:cs="Arial"/>
          <w:iCs/>
        </w:rPr>
        <w:t>.</w:t>
      </w:r>
    </w:p>
    <w:p w:rsidR="003A2991" w:rsidRPr="008E1EAE" w:rsidRDefault="003A2991" w:rsidP="006F095D">
      <w:pPr>
        <w:pStyle w:val="ListParagraph"/>
        <w:autoSpaceDE w:val="0"/>
        <w:autoSpaceDN w:val="0"/>
        <w:adjustRightInd w:val="0"/>
        <w:ind w:left="1080" w:right="804"/>
        <w:jc w:val="both"/>
        <w:rPr>
          <w:rFonts w:ascii="Arial" w:hAnsi="Arial" w:cs="Arial"/>
          <w:iCs/>
        </w:rPr>
      </w:pPr>
    </w:p>
    <w:p w:rsidR="00C1588B" w:rsidRPr="008E1EAE" w:rsidRDefault="00C1588B" w:rsidP="006F095D">
      <w:pPr>
        <w:pStyle w:val="ListParagraph"/>
        <w:numPr>
          <w:ilvl w:val="0"/>
          <w:numId w:val="8"/>
        </w:numPr>
        <w:autoSpaceDE w:val="0"/>
        <w:autoSpaceDN w:val="0"/>
        <w:adjustRightInd w:val="0"/>
        <w:ind w:right="804"/>
        <w:jc w:val="both"/>
        <w:rPr>
          <w:rFonts w:ascii="Arial" w:hAnsi="Arial" w:cs="Arial"/>
          <w:iCs/>
        </w:rPr>
      </w:pPr>
      <w:r w:rsidRPr="008E1EAE">
        <w:rPr>
          <w:rFonts w:ascii="Arial" w:hAnsi="Arial" w:cs="Arial"/>
          <w:iCs/>
        </w:rPr>
        <w:t>Following the declaration of the Climate Emergency in July 2019, the Council committed to redu</w:t>
      </w:r>
      <w:r w:rsidR="00534B4A" w:rsidRPr="008E1EAE">
        <w:rPr>
          <w:rFonts w:ascii="Arial" w:hAnsi="Arial" w:cs="Arial"/>
          <w:iCs/>
        </w:rPr>
        <w:t>cing its impacts on the Environ</w:t>
      </w:r>
      <w:r w:rsidRPr="008E1EAE">
        <w:rPr>
          <w:rFonts w:ascii="Arial" w:hAnsi="Arial" w:cs="Arial"/>
          <w:iCs/>
        </w:rPr>
        <w:t>m</w:t>
      </w:r>
      <w:r w:rsidR="00534B4A" w:rsidRPr="008E1EAE">
        <w:rPr>
          <w:rFonts w:ascii="Arial" w:hAnsi="Arial" w:cs="Arial"/>
          <w:iCs/>
        </w:rPr>
        <w:t>e</w:t>
      </w:r>
      <w:r w:rsidRPr="008E1EAE">
        <w:rPr>
          <w:rFonts w:ascii="Arial" w:hAnsi="Arial" w:cs="Arial"/>
          <w:iCs/>
        </w:rPr>
        <w:t xml:space="preserve">nt from all </w:t>
      </w:r>
      <w:r w:rsidR="003A2991" w:rsidRPr="008E1EAE">
        <w:rPr>
          <w:rFonts w:ascii="Arial" w:hAnsi="Arial" w:cs="Arial"/>
          <w:iCs/>
        </w:rPr>
        <w:t>of its activities, including from the use of Single use Plastics (SUP’s).</w:t>
      </w:r>
    </w:p>
    <w:p w:rsidR="005B73E9" w:rsidRPr="008E1EAE" w:rsidRDefault="005B73E9" w:rsidP="005B73E9">
      <w:pPr>
        <w:pStyle w:val="ListParagraph"/>
        <w:rPr>
          <w:rFonts w:ascii="Arial" w:hAnsi="Arial" w:cs="Arial"/>
          <w:iCs/>
        </w:rPr>
      </w:pPr>
    </w:p>
    <w:p w:rsidR="005B73E9" w:rsidRPr="008E1EAE" w:rsidRDefault="005B73E9" w:rsidP="006F095D">
      <w:pPr>
        <w:pStyle w:val="ListParagraph"/>
        <w:numPr>
          <w:ilvl w:val="0"/>
          <w:numId w:val="8"/>
        </w:numPr>
        <w:autoSpaceDE w:val="0"/>
        <w:autoSpaceDN w:val="0"/>
        <w:adjustRightInd w:val="0"/>
        <w:ind w:right="804"/>
        <w:jc w:val="both"/>
        <w:rPr>
          <w:rFonts w:ascii="Arial" w:hAnsi="Arial" w:cs="Arial"/>
          <w:iCs/>
        </w:rPr>
      </w:pPr>
      <w:r w:rsidRPr="008E1EAE">
        <w:rPr>
          <w:rFonts w:ascii="Arial" w:hAnsi="Arial" w:cs="Arial"/>
          <w:iCs/>
        </w:rPr>
        <w:t xml:space="preserve">The strategy, to be developed, implemented </w:t>
      </w:r>
      <w:r w:rsidR="006C41CC" w:rsidRPr="008E1EAE">
        <w:rPr>
          <w:rFonts w:ascii="Arial" w:hAnsi="Arial" w:cs="Arial"/>
          <w:iCs/>
        </w:rPr>
        <w:t xml:space="preserve">and </w:t>
      </w:r>
      <w:r w:rsidRPr="008E1EAE">
        <w:rPr>
          <w:rFonts w:ascii="Arial" w:hAnsi="Arial" w:cs="Arial"/>
          <w:iCs/>
        </w:rPr>
        <w:t xml:space="preserve">monitored </w:t>
      </w:r>
      <w:r w:rsidR="006C41CC" w:rsidRPr="008E1EAE">
        <w:rPr>
          <w:rFonts w:ascii="Arial" w:hAnsi="Arial" w:cs="Arial"/>
          <w:iCs/>
        </w:rPr>
        <w:t xml:space="preserve">by the Climate Emergency Task group will undertake a full review </w:t>
      </w:r>
      <w:r w:rsidR="000A5586" w:rsidRPr="008E1EAE">
        <w:rPr>
          <w:rFonts w:ascii="Arial" w:hAnsi="Arial" w:cs="Arial"/>
          <w:iCs/>
        </w:rPr>
        <w:t>of the Council’s use of Single Use P</w:t>
      </w:r>
      <w:r w:rsidR="006C41CC" w:rsidRPr="008E1EAE">
        <w:rPr>
          <w:rFonts w:ascii="Arial" w:hAnsi="Arial" w:cs="Arial"/>
          <w:iCs/>
        </w:rPr>
        <w:t xml:space="preserve">lastics and implement procedural and policy changes to minimise the SUP usage through the Council operations. </w:t>
      </w:r>
    </w:p>
    <w:p w:rsidR="006C41CC" w:rsidRPr="006C41CC" w:rsidRDefault="006C41CC" w:rsidP="006F095D">
      <w:pPr>
        <w:pStyle w:val="ListParagraph"/>
        <w:jc w:val="both"/>
        <w:rPr>
          <w:rFonts w:cs="Arial-ItalicMT"/>
          <w:iCs/>
        </w:rPr>
      </w:pPr>
    </w:p>
    <w:p w:rsidR="00C6778C" w:rsidRPr="008E1EAE" w:rsidRDefault="00C6778C" w:rsidP="00725699">
      <w:pPr>
        <w:pStyle w:val="ListParagraph"/>
        <w:numPr>
          <w:ilvl w:val="0"/>
          <w:numId w:val="8"/>
        </w:numPr>
        <w:autoSpaceDE w:val="0"/>
        <w:autoSpaceDN w:val="0"/>
        <w:adjustRightInd w:val="0"/>
        <w:ind w:right="804"/>
        <w:jc w:val="both"/>
        <w:rPr>
          <w:rFonts w:ascii="Arial" w:hAnsi="Arial" w:cs="Arial"/>
          <w:iCs/>
        </w:rPr>
      </w:pPr>
      <w:r w:rsidRPr="008E1EAE">
        <w:rPr>
          <w:rFonts w:ascii="Arial" w:hAnsi="Arial" w:cs="Arial"/>
          <w:iCs/>
        </w:rPr>
        <w:t>This strategy will</w:t>
      </w:r>
      <w:r w:rsidR="00725699" w:rsidRPr="008E1EAE">
        <w:rPr>
          <w:rFonts w:ascii="Arial" w:hAnsi="Arial" w:cs="Arial"/>
          <w:iCs/>
        </w:rPr>
        <w:t xml:space="preserve"> support our plans to improve and safeguard the environment of  </w:t>
      </w:r>
      <w:r w:rsidRPr="008E1EAE">
        <w:rPr>
          <w:rFonts w:ascii="Arial" w:hAnsi="Arial" w:cs="Arial"/>
          <w:iCs/>
        </w:rPr>
        <w:t xml:space="preserve"> South Ribble</w:t>
      </w:r>
      <w:r w:rsidR="00725699" w:rsidRPr="008E1EAE">
        <w:rPr>
          <w:rFonts w:ascii="Arial" w:hAnsi="Arial" w:cs="Arial"/>
          <w:iCs/>
        </w:rPr>
        <w:t xml:space="preserve"> to be</w:t>
      </w:r>
      <w:r w:rsidRPr="008E1EAE">
        <w:rPr>
          <w:rFonts w:ascii="Arial" w:hAnsi="Arial" w:cs="Arial"/>
          <w:iCs/>
        </w:rPr>
        <w:t xml:space="preserve"> a place where everyone is treated fairly and our communities feel happy, healthy and safe</w:t>
      </w:r>
      <w:r w:rsidR="00725699" w:rsidRPr="008E1EAE">
        <w:rPr>
          <w:rFonts w:ascii="Arial" w:hAnsi="Arial" w:cs="Arial"/>
          <w:iCs/>
        </w:rPr>
        <w:t>.</w:t>
      </w:r>
      <w:r w:rsidRPr="008E1EAE">
        <w:rPr>
          <w:rFonts w:ascii="Arial" w:hAnsi="Arial" w:cs="Arial"/>
          <w:iCs/>
        </w:rPr>
        <w:t xml:space="preserve">  </w:t>
      </w:r>
    </w:p>
    <w:p w:rsidR="00725699" w:rsidRPr="008E1EAE" w:rsidRDefault="00725699" w:rsidP="00725699">
      <w:pPr>
        <w:pStyle w:val="ListParagraph"/>
        <w:autoSpaceDE w:val="0"/>
        <w:autoSpaceDN w:val="0"/>
        <w:adjustRightInd w:val="0"/>
        <w:ind w:left="1080" w:right="804"/>
        <w:jc w:val="both"/>
        <w:rPr>
          <w:rFonts w:ascii="Arial" w:hAnsi="Arial" w:cs="Arial"/>
          <w:iCs/>
        </w:rPr>
      </w:pPr>
    </w:p>
    <w:p w:rsidR="002F5C5E" w:rsidRPr="008E1EAE" w:rsidRDefault="00725699" w:rsidP="00023023">
      <w:pPr>
        <w:pStyle w:val="ListParagraph"/>
        <w:numPr>
          <w:ilvl w:val="0"/>
          <w:numId w:val="8"/>
        </w:numPr>
        <w:autoSpaceDE w:val="0"/>
        <w:autoSpaceDN w:val="0"/>
        <w:adjustRightInd w:val="0"/>
        <w:ind w:right="804"/>
        <w:jc w:val="both"/>
        <w:rPr>
          <w:rFonts w:ascii="Arial" w:hAnsi="Arial" w:cs="Arial"/>
          <w:iCs/>
        </w:rPr>
      </w:pPr>
      <w:r w:rsidRPr="008E1EAE">
        <w:rPr>
          <w:rFonts w:ascii="Arial" w:hAnsi="Arial" w:cs="Arial"/>
          <w:iCs/>
        </w:rPr>
        <w:t xml:space="preserve">We </w:t>
      </w:r>
      <w:r w:rsidR="00C6778C" w:rsidRPr="008E1EAE">
        <w:rPr>
          <w:rFonts w:ascii="Arial" w:hAnsi="Arial" w:cs="Arial"/>
          <w:iCs/>
        </w:rPr>
        <w:t xml:space="preserve">share the responsibility for </w:t>
      </w:r>
      <w:r w:rsidRPr="008E1EAE">
        <w:rPr>
          <w:rFonts w:ascii="Arial" w:hAnsi="Arial" w:cs="Arial"/>
          <w:iCs/>
        </w:rPr>
        <w:t>safeguarding the environment in South Ribble.</w:t>
      </w:r>
      <w:r w:rsidR="00C6778C" w:rsidRPr="008E1EAE">
        <w:rPr>
          <w:rFonts w:ascii="Arial" w:hAnsi="Arial" w:cs="Arial"/>
          <w:iCs/>
        </w:rPr>
        <w:t xml:space="preserve"> We all have a part to play and need the</w:t>
      </w:r>
      <w:r w:rsidRPr="008E1EAE">
        <w:rPr>
          <w:rFonts w:ascii="Arial" w:hAnsi="Arial" w:cs="Arial"/>
          <w:iCs/>
        </w:rPr>
        <w:t xml:space="preserve"> </w:t>
      </w:r>
      <w:r w:rsidR="00C6778C" w:rsidRPr="008E1EAE">
        <w:rPr>
          <w:rFonts w:ascii="Arial" w:hAnsi="Arial" w:cs="Arial"/>
          <w:iCs/>
        </w:rPr>
        <w:t>help and support from all across the community; our businesses and</w:t>
      </w:r>
      <w:r w:rsidRPr="008E1EAE">
        <w:rPr>
          <w:rFonts w:ascii="Arial" w:hAnsi="Arial" w:cs="Arial"/>
          <w:iCs/>
        </w:rPr>
        <w:t xml:space="preserve"> </w:t>
      </w:r>
      <w:r w:rsidR="00C6778C" w:rsidRPr="008E1EAE">
        <w:rPr>
          <w:rFonts w:ascii="Arial" w:hAnsi="Arial" w:cs="Arial"/>
          <w:iCs/>
        </w:rPr>
        <w:t>our residents.</w:t>
      </w:r>
      <w:r w:rsidR="00023023" w:rsidRPr="008E1EAE">
        <w:rPr>
          <w:rFonts w:ascii="Arial" w:hAnsi="Arial" w:cs="Arial"/>
          <w:iCs/>
        </w:rPr>
        <w:t xml:space="preserve"> This strategy sets out ways we can encourage our community to reduce t</w:t>
      </w:r>
      <w:r w:rsidR="000A5586" w:rsidRPr="008E1EAE">
        <w:rPr>
          <w:rFonts w:ascii="Arial" w:hAnsi="Arial" w:cs="Arial"/>
          <w:iCs/>
        </w:rPr>
        <w:t>he amount of SUP’s</w:t>
      </w:r>
      <w:r w:rsidR="00023023" w:rsidRPr="008E1EAE">
        <w:rPr>
          <w:rFonts w:ascii="Arial" w:hAnsi="Arial" w:cs="Arial"/>
          <w:iCs/>
        </w:rPr>
        <w:t>.</w:t>
      </w:r>
    </w:p>
    <w:p w:rsidR="008C04DA" w:rsidRPr="008E1EAE" w:rsidRDefault="008C04DA" w:rsidP="008C04DA">
      <w:pPr>
        <w:keepNext/>
        <w:ind w:left="360"/>
        <w:outlineLvl w:val="0"/>
        <w:rPr>
          <w:rFonts w:cs="Arial"/>
          <w:i/>
          <w:szCs w:val="22"/>
        </w:rPr>
      </w:pPr>
    </w:p>
    <w:p w:rsidR="008C04DA" w:rsidRPr="008E1EAE" w:rsidRDefault="008C04DA" w:rsidP="002C71DE">
      <w:pPr>
        <w:keepNext/>
        <w:outlineLvl w:val="0"/>
        <w:rPr>
          <w:rFonts w:cs="Arial"/>
          <w:b/>
          <w:szCs w:val="22"/>
        </w:rPr>
      </w:pPr>
      <w:r w:rsidRPr="008E1EAE">
        <w:rPr>
          <w:rFonts w:cs="Arial"/>
          <w:b/>
          <w:szCs w:val="22"/>
        </w:rPr>
        <w:t>CORPORATE PRIORITIES</w:t>
      </w:r>
    </w:p>
    <w:p w:rsidR="00911FD5" w:rsidRPr="008E1EAE" w:rsidRDefault="00911FD5" w:rsidP="00911FD5">
      <w:pPr>
        <w:keepNext/>
        <w:ind w:left="567"/>
        <w:outlineLvl w:val="0"/>
        <w:rPr>
          <w:rFonts w:cs="Arial"/>
          <w:b/>
          <w:szCs w:val="22"/>
        </w:rPr>
      </w:pPr>
    </w:p>
    <w:p w:rsidR="008C04DA" w:rsidRPr="008E1EAE" w:rsidRDefault="008C04DA" w:rsidP="006F095D">
      <w:pPr>
        <w:pStyle w:val="ListParagraph"/>
        <w:keepNext/>
        <w:numPr>
          <w:ilvl w:val="0"/>
          <w:numId w:val="8"/>
        </w:numPr>
        <w:jc w:val="both"/>
        <w:outlineLvl w:val="0"/>
        <w:rPr>
          <w:rFonts w:ascii="Arial" w:hAnsi="Arial" w:cs="Arial"/>
          <w:i/>
          <w:color w:val="2E74B5"/>
        </w:rPr>
      </w:pPr>
      <w:r w:rsidRPr="008E1EAE">
        <w:rPr>
          <w:rFonts w:ascii="Arial" w:hAnsi="Arial" w:cs="Arial"/>
        </w:rPr>
        <w:t>The report relates to the following corporate priorities</w:t>
      </w:r>
      <w:r w:rsidR="00970C70" w:rsidRPr="008E1EAE">
        <w:rPr>
          <w:rFonts w:ascii="Arial" w:hAnsi="Arial" w:cs="Arial"/>
        </w:rPr>
        <w:t>:</w:t>
      </w:r>
      <w:r w:rsidRPr="008E1EAE">
        <w:rPr>
          <w:rFonts w:ascii="Arial" w:hAnsi="Arial" w:cs="Arial"/>
          <w:b/>
        </w:rPr>
        <w:t xml:space="preserve"> </w:t>
      </w:r>
    </w:p>
    <w:p w:rsidR="008C04DA" w:rsidRPr="008E1EAE" w:rsidRDefault="008C04DA" w:rsidP="008C04DA">
      <w:pPr>
        <w:rPr>
          <w:rFonts w:cs="Arial"/>
          <w:szCs w:val="22"/>
        </w:rPr>
      </w:pPr>
    </w:p>
    <w:tbl>
      <w:tblPr>
        <w:tblW w:w="5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FB4CD1" w:rsidRPr="008E1EAE" w:rsidTr="007E17D5">
        <w:trPr>
          <w:jc w:val="center"/>
        </w:trPr>
        <w:tc>
          <w:tcPr>
            <w:tcW w:w="4423" w:type="dxa"/>
            <w:shd w:val="clear" w:color="auto" w:fill="auto"/>
            <w:vAlign w:val="center"/>
          </w:tcPr>
          <w:p w:rsidR="007E17D5" w:rsidRPr="008E1EAE" w:rsidRDefault="007E17D5" w:rsidP="007E17D5">
            <w:pPr>
              <w:rPr>
                <w:rFonts w:cs="Arial"/>
                <w:sz w:val="12"/>
                <w:szCs w:val="12"/>
              </w:rPr>
            </w:pPr>
          </w:p>
          <w:p w:rsidR="000E5A3B" w:rsidRPr="008E1EAE" w:rsidRDefault="000E5A3B" w:rsidP="007E17D5">
            <w:pPr>
              <w:rPr>
                <w:rFonts w:cs="Arial"/>
                <w:szCs w:val="22"/>
              </w:rPr>
            </w:pPr>
            <w:r w:rsidRPr="008E1EAE">
              <w:rPr>
                <w:rFonts w:cs="Arial"/>
                <w:szCs w:val="22"/>
              </w:rPr>
              <w:t>Excellence and Financial Sustainability</w:t>
            </w:r>
          </w:p>
          <w:p w:rsidR="000E5A3B" w:rsidRPr="008E1EAE" w:rsidRDefault="000E5A3B" w:rsidP="007E17D5">
            <w:pPr>
              <w:rPr>
                <w:rFonts w:cs="Arial"/>
                <w:sz w:val="12"/>
                <w:szCs w:val="12"/>
              </w:rPr>
            </w:pPr>
          </w:p>
        </w:tc>
        <w:tc>
          <w:tcPr>
            <w:tcW w:w="850" w:type="dxa"/>
            <w:shd w:val="clear" w:color="auto" w:fill="auto"/>
            <w:vAlign w:val="center"/>
          </w:tcPr>
          <w:p w:rsidR="000E5A3B" w:rsidRPr="008E1EAE" w:rsidRDefault="007E17D5" w:rsidP="007E17D5">
            <w:pPr>
              <w:jc w:val="center"/>
              <w:rPr>
                <w:rFonts w:cs="Arial"/>
                <w:szCs w:val="22"/>
                <w:highlight w:val="yellow"/>
              </w:rPr>
            </w:pPr>
            <w:r w:rsidRPr="008E1EAE">
              <w:rPr>
                <w:rFonts w:cs="Arial"/>
                <w:szCs w:val="22"/>
              </w:rPr>
              <w:t>x</w:t>
            </w:r>
          </w:p>
        </w:tc>
      </w:tr>
      <w:tr w:rsidR="00FB4CD1" w:rsidRPr="008E1EAE" w:rsidTr="007E17D5">
        <w:trPr>
          <w:jc w:val="center"/>
        </w:trPr>
        <w:tc>
          <w:tcPr>
            <w:tcW w:w="4423" w:type="dxa"/>
            <w:shd w:val="clear" w:color="auto" w:fill="auto"/>
            <w:vAlign w:val="center"/>
          </w:tcPr>
          <w:p w:rsidR="007E17D5" w:rsidRPr="008E1EAE" w:rsidRDefault="007E17D5" w:rsidP="007E17D5">
            <w:pPr>
              <w:rPr>
                <w:rFonts w:cs="Arial"/>
                <w:sz w:val="12"/>
                <w:szCs w:val="12"/>
              </w:rPr>
            </w:pPr>
          </w:p>
          <w:p w:rsidR="000E5A3B" w:rsidRPr="008E1EAE" w:rsidRDefault="000E5A3B" w:rsidP="007E17D5">
            <w:pPr>
              <w:rPr>
                <w:rFonts w:cs="Arial"/>
                <w:szCs w:val="22"/>
              </w:rPr>
            </w:pPr>
            <w:r w:rsidRPr="008E1EAE">
              <w:rPr>
                <w:rFonts w:cs="Arial"/>
                <w:szCs w:val="22"/>
              </w:rPr>
              <w:t>Health and Wellbeing</w:t>
            </w:r>
          </w:p>
          <w:p w:rsidR="000E5A3B" w:rsidRPr="008E1EAE" w:rsidRDefault="000E5A3B" w:rsidP="007E17D5">
            <w:pPr>
              <w:rPr>
                <w:rFonts w:cs="Arial"/>
                <w:sz w:val="12"/>
                <w:szCs w:val="12"/>
              </w:rPr>
            </w:pPr>
          </w:p>
        </w:tc>
        <w:tc>
          <w:tcPr>
            <w:tcW w:w="850" w:type="dxa"/>
            <w:shd w:val="clear" w:color="auto" w:fill="auto"/>
            <w:vAlign w:val="center"/>
          </w:tcPr>
          <w:p w:rsidR="000E5A3B" w:rsidRPr="008E1EAE" w:rsidRDefault="00725699" w:rsidP="007E17D5">
            <w:pPr>
              <w:jc w:val="center"/>
              <w:rPr>
                <w:rFonts w:cs="Arial"/>
                <w:szCs w:val="22"/>
                <w:highlight w:val="yellow"/>
              </w:rPr>
            </w:pPr>
            <w:r w:rsidRPr="008E1EAE">
              <w:rPr>
                <w:rFonts w:cs="Arial"/>
                <w:szCs w:val="22"/>
              </w:rPr>
              <w:t>x</w:t>
            </w:r>
          </w:p>
        </w:tc>
      </w:tr>
      <w:tr w:rsidR="000E5A3B" w:rsidRPr="008E1EAE" w:rsidTr="007E17D5">
        <w:trPr>
          <w:jc w:val="center"/>
        </w:trPr>
        <w:tc>
          <w:tcPr>
            <w:tcW w:w="4423" w:type="dxa"/>
            <w:shd w:val="clear" w:color="auto" w:fill="auto"/>
            <w:vAlign w:val="center"/>
          </w:tcPr>
          <w:p w:rsidR="007E17D5" w:rsidRPr="008E1EAE" w:rsidRDefault="007E17D5" w:rsidP="007E17D5">
            <w:pPr>
              <w:rPr>
                <w:rFonts w:cs="Arial"/>
                <w:sz w:val="12"/>
                <w:szCs w:val="12"/>
              </w:rPr>
            </w:pPr>
          </w:p>
          <w:p w:rsidR="000E5A3B" w:rsidRPr="008E1EAE" w:rsidRDefault="000E5A3B" w:rsidP="007E17D5">
            <w:pPr>
              <w:rPr>
                <w:rFonts w:cs="Arial"/>
                <w:szCs w:val="22"/>
              </w:rPr>
            </w:pPr>
            <w:r w:rsidRPr="008E1EAE">
              <w:rPr>
                <w:rFonts w:cs="Arial"/>
                <w:szCs w:val="22"/>
              </w:rPr>
              <w:t>Place</w:t>
            </w:r>
          </w:p>
          <w:p w:rsidR="000E5A3B" w:rsidRPr="008E1EAE" w:rsidRDefault="000E5A3B" w:rsidP="007E17D5">
            <w:pPr>
              <w:rPr>
                <w:rFonts w:cs="Arial"/>
                <w:sz w:val="12"/>
                <w:szCs w:val="12"/>
              </w:rPr>
            </w:pPr>
          </w:p>
        </w:tc>
        <w:tc>
          <w:tcPr>
            <w:tcW w:w="850" w:type="dxa"/>
            <w:shd w:val="clear" w:color="auto" w:fill="auto"/>
            <w:vAlign w:val="center"/>
          </w:tcPr>
          <w:p w:rsidR="000E5A3B" w:rsidRPr="008E1EAE" w:rsidRDefault="00725699" w:rsidP="007E17D5">
            <w:pPr>
              <w:jc w:val="center"/>
              <w:rPr>
                <w:rFonts w:cs="Arial"/>
                <w:szCs w:val="22"/>
              </w:rPr>
            </w:pPr>
            <w:r w:rsidRPr="008E1EAE">
              <w:rPr>
                <w:rFonts w:cs="Arial"/>
                <w:szCs w:val="22"/>
              </w:rPr>
              <w:t>x</w:t>
            </w:r>
          </w:p>
        </w:tc>
      </w:tr>
    </w:tbl>
    <w:p w:rsidR="002D4745" w:rsidRPr="008E1EAE" w:rsidRDefault="002D4745">
      <w:pPr>
        <w:rPr>
          <w:rFonts w:cs="Arial"/>
        </w:rPr>
      </w:pPr>
    </w:p>
    <w:p w:rsidR="002D4745" w:rsidRPr="008E1EAE" w:rsidRDefault="002D4745" w:rsidP="002D4745">
      <w:pPr>
        <w:ind w:firstLine="720"/>
        <w:rPr>
          <w:rFonts w:cs="Arial"/>
        </w:rPr>
      </w:pPr>
      <w:r w:rsidRPr="008E1EAE">
        <w:rPr>
          <w:rFonts w:cs="Arial"/>
        </w:rPr>
        <w:t>Projects relating to People in the Corporate Plan:</w:t>
      </w:r>
    </w:p>
    <w:p w:rsidR="002D4745" w:rsidRPr="008E1EAE" w:rsidRDefault="002D4745" w:rsidP="002D4745">
      <w:pPr>
        <w:ind w:firstLine="720"/>
        <w:rPr>
          <w:rFonts w:cs="Arial"/>
        </w:rPr>
      </w:pPr>
    </w:p>
    <w:tbl>
      <w:tblPr>
        <w:tblW w:w="5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FB4CD1" w:rsidRPr="008E1EAE" w:rsidTr="007E17D5">
        <w:trPr>
          <w:jc w:val="center"/>
        </w:trPr>
        <w:tc>
          <w:tcPr>
            <w:tcW w:w="4423" w:type="dxa"/>
            <w:shd w:val="clear" w:color="auto" w:fill="auto"/>
          </w:tcPr>
          <w:p w:rsidR="007E17D5" w:rsidRPr="008E1EAE" w:rsidRDefault="007E17D5" w:rsidP="00A975A7">
            <w:pPr>
              <w:rPr>
                <w:rFonts w:cs="Arial"/>
                <w:sz w:val="12"/>
                <w:szCs w:val="12"/>
              </w:rPr>
            </w:pPr>
          </w:p>
          <w:p w:rsidR="002D4745" w:rsidRPr="008E1EAE" w:rsidRDefault="002D4745" w:rsidP="00A975A7">
            <w:pPr>
              <w:rPr>
                <w:rFonts w:cs="Arial"/>
                <w:szCs w:val="22"/>
              </w:rPr>
            </w:pPr>
            <w:r w:rsidRPr="008E1EAE">
              <w:rPr>
                <w:rFonts w:cs="Arial"/>
                <w:szCs w:val="22"/>
              </w:rPr>
              <w:t xml:space="preserve">People </w:t>
            </w:r>
          </w:p>
          <w:p w:rsidR="002D4745" w:rsidRPr="008E1EAE" w:rsidRDefault="002D4745" w:rsidP="00A975A7">
            <w:pPr>
              <w:rPr>
                <w:rFonts w:cs="Arial"/>
                <w:sz w:val="12"/>
                <w:szCs w:val="12"/>
              </w:rPr>
            </w:pPr>
          </w:p>
        </w:tc>
        <w:tc>
          <w:tcPr>
            <w:tcW w:w="850" w:type="dxa"/>
            <w:shd w:val="clear" w:color="auto" w:fill="auto"/>
            <w:vAlign w:val="center"/>
          </w:tcPr>
          <w:p w:rsidR="002D4745" w:rsidRPr="008E1EAE" w:rsidRDefault="007E17D5" w:rsidP="007E17D5">
            <w:pPr>
              <w:jc w:val="center"/>
              <w:rPr>
                <w:rFonts w:cs="Arial"/>
                <w:szCs w:val="22"/>
              </w:rPr>
            </w:pPr>
            <w:r w:rsidRPr="008E1EAE">
              <w:rPr>
                <w:rFonts w:cs="Arial"/>
                <w:szCs w:val="22"/>
              </w:rPr>
              <w:t>x</w:t>
            </w:r>
          </w:p>
        </w:tc>
      </w:tr>
    </w:tbl>
    <w:p w:rsidR="008C04DA" w:rsidRPr="008E1EAE" w:rsidRDefault="008C04DA" w:rsidP="008C04DA">
      <w:pPr>
        <w:keepNext/>
        <w:ind w:left="360"/>
        <w:outlineLvl w:val="0"/>
        <w:rPr>
          <w:rFonts w:cs="Arial"/>
          <w:szCs w:val="22"/>
        </w:rPr>
      </w:pPr>
    </w:p>
    <w:p w:rsidR="0065176C" w:rsidRPr="008E1EAE" w:rsidRDefault="002F5C5E" w:rsidP="002C71DE">
      <w:pPr>
        <w:keepNext/>
        <w:outlineLvl w:val="0"/>
        <w:rPr>
          <w:rFonts w:cs="Arial"/>
          <w:b/>
          <w:szCs w:val="22"/>
        </w:rPr>
      </w:pPr>
      <w:r w:rsidRPr="008E1EAE">
        <w:rPr>
          <w:rFonts w:cs="Arial"/>
          <w:b/>
          <w:szCs w:val="22"/>
        </w:rPr>
        <w:t>BACKGROUND TO THE REPORT</w:t>
      </w:r>
    </w:p>
    <w:p w:rsidR="00EF3B6C" w:rsidRPr="008E1EAE" w:rsidRDefault="00EF3B6C" w:rsidP="00EF3B6C">
      <w:pPr>
        <w:keepNext/>
        <w:ind w:left="567"/>
        <w:outlineLvl w:val="0"/>
        <w:rPr>
          <w:rFonts w:cs="Arial"/>
          <w:b/>
          <w:szCs w:val="22"/>
        </w:rPr>
      </w:pPr>
    </w:p>
    <w:p w:rsidR="006F095D" w:rsidRPr="008E1EAE" w:rsidRDefault="006F095D" w:rsidP="006F095D">
      <w:pPr>
        <w:pStyle w:val="ListParagraph"/>
        <w:numPr>
          <w:ilvl w:val="0"/>
          <w:numId w:val="8"/>
        </w:numPr>
        <w:ind w:right="95"/>
        <w:jc w:val="both"/>
        <w:rPr>
          <w:rFonts w:ascii="Arial" w:hAnsi="Arial" w:cs="Arial"/>
        </w:rPr>
      </w:pPr>
      <w:r w:rsidRPr="008E1EAE">
        <w:rPr>
          <w:rFonts w:ascii="Arial" w:hAnsi="Arial" w:cs="Arial"/>
        </w:rPr>
        <w:t>Single Use Plastics (SUP’s) also known as disposable plastics, are commonly used for plastic packaging</w:t>
      </w:r>
      <w:r w:rsidRPr="008E1EAE">
        <w:rPr>
          <w:rStyle w:val="FootnoteReference"/>
          <w:rFonts w:ascii="Arial" w:hAnsi="Arial" w:cs="Arial"/>
        </w:rPr>
        <w:footnoteReference w:id="1"/>
      </w:r>
      <w:r w:rsidRPr="008E1EAE">
        <w:rPr>
          <w:rFonts w:ascii="Arial" w:hAnsi="Arial" w:cs="Arial"/>
        </w:rPr>
        <w:t xml:space="preserve"> and include items intended to be used only once before they are thrown away or recycled. These include, among other items, grocery bags, food packaging, bottles, straws, containers, cups and cutlery.</w:t>
      </w:r>
    </w:p>
    <w:p w:rsidR="00B36528" w:rsidRPr="008E1EAE" w:rsidRDefault="00B36528" w:rsidP="00B36528">
      <w:pPr>
        <w:pStyle w:val="ListParagraph"/>
        <w:ind w:left="1080" w:right="95"/>
        <w:jc w:val="both"/>
        <w:rPr>
          <w:rFonts w:ascii="Arial" w:hAnsi="Arial" w:cs="Arial"/>
        </w:rPr>
      </w:pPr>
    </w:p>
    <w:p w:rsidR="00B36528" w:rsidRPr="008E1EAE" w:rsidRDefault="006F095D" w:rsidP="00B36528">
      <w:pPr>
        <w:pStyle w:val="ListParagraph"/>
        <w:numPr>
          <w:ilvl w:val="0"/>
          <w:numId w:val="8"/>
        </w:numPr>
        <w:ind w:right="95"/>
        <w:jc w:val="both"/>
        <w:rPr>
          <w:rFonts w:ascii="Arial" w:hAnsi="Arial" w:cs="Arial"/>
        </w:rPr>
      </w:pPr>
      <w:r w:rsidRPr="008E1EAE">
        <w:rPr>
          <w:rFonts w:ascii="Arial" w:hAnsi="Arial" w:cs="Arial"/>
        </w:rPr>
        <w:t xml:space="preserve">At the end of its useful life a product or packaging is recycled, incinerated, landfilled, dumped </w:t>
      </w:r>
      <w:r w:rsidR="00EF40C3" w:rsidRPr="008E1EAE">
        <w:rPr>
          <w:rFonts w:ascii="Arial" w:hAnsi="Arial" w:cs="Arial"/>
        </w:rPr>
        <w:t>at</w:t>
      </w:r>
      <w:r w:rsidRPr="008E1EAE">
        <w:rPr>
          <w:rFonts w:ascii="Arial" w:hAnsi="Arial" w:cs="Arial"/>
        </w:rPr>
        <w:t xml:space="preserve"> uncontrolled sites, or littered in the environment. According to recent estimates</w:t>
      </w:r>
      <w:r w:rsidRPr="008E1EAE">
        <w:rPr>
          <w:rStyle w:val="FootnoteReference"/>
          <w:rFonts w:ascii="Arial" w:hAnsi="Arial" w:cs="Arial"/>
        </w:rPr>
        <w:footnoteReference w:id="2"/>
      </w:r>
      <w:r w:rsidRPr="008E1EAE">
        <w:rPr>
          <w:rFonts w:ascii="Arial" w:hAnsi="Arial" w:cs="Arial"/>
        </w:rPr>
        <w:t>, 79% of the plastic waste ever produced now sits in landfills, dumps or in the environment, while about 12% has been incinerated</w:t>
      </w:r>
      <w:r w:rsidR="00EF40C3" w:rsidRPr="008E1EAE">
        <w:rPr>
          <w:rFonts w:ascii="Arial" w:hAnsi="Arial" w:cs="Arial"/>
        </w:rPr>
        <w:t>,</w:t>
      </w:r>
      <w:r w:rsidRPr="008E1EAE">
        <w:rPr>
          <w:rFonts w:ascii="Arial" w:hAnsi="Arial" w:cs="Arial"/>
        </w:rPr>
        <w:t xml:space="preserve"> and only 9% has been recycled</w:t>
      </w:r>
      <w:r w:rsidRPr="008E1EAE">
        <w:rPr>
          <w:rFonts w:ascii="Arial" w:hAnsi="Arial" w:cs="Arial"/>
          <w:lang w:eastAsia="en-GB"/>
        </w:rPr>
        <w:t>.</w:t>
      </w:r>
    </w:p>
    <w:p w:rsidR="00AA732E" w:rsidRPr="008E1EAE" w:rsidRDefault="00AA732E" w:rsidP="00AA732E">
      <w:pPr>
        <w:pStyle w:val="ListParagraph"/>
        <w:ind w:left="1080" w:right="95"/>
        <w:jc w:val="both"/>
        <w:rPr>
          <w:rFonts w:ascii="Arial" w:hAnsi="Arial" w:cs="Arial"/>
        </w:rPr>
      </w:pPr>
    </w:p>
    <w:p w:rsidR="006F095D" w:rsidRPr="008E1EAE" w:rsidRDefault="006F095D" w:rsidP="00B36528">
      <w:pPr>
        <w:pStyle w:val="ListParagraph"/>
        <w:numPr>
          <w:ilvl w:val="0"/>
          <w:numId w:val="8"/>
        </w:numPr>
        <w:ind w:right="-46"/>
        <w:jc w:val="both"/>
        <w:rPr>
          <w:rFonts w:ascii="Arial" w:hAnsi="Arial" w:cs="Arial"/>
        </w:rPr>
      </w:pPr>
      <w:r w:rsidRPr="008E1EAE">
        <w:rPr>
          <w:rFonts w:ascii="Arial" w:hAnsi="Arial" w:cs="Arial"/>
        </w:rPr>
        <w:t xml:space="preserve">Plastics are </w:t>
      </w:r>
      <w:r w:rsidR="00EF40C3" w:rsidRPr="008E1EAE">
        <w:rPr>
          <w:rFonts w:ascii="Arial" w:hAnsi="Arial" w:cs="Arial"/>
        </w:rPr>
        <w:t xml:space="preserve">predominantly composed of </w:t>
      </w:r>
      <w:r w:rsidRPr="008E1EAE">
        <w:rPr>
          <w:rFonts w:ascii="Arial" w:hAnsi="Arial" w:cs="Arial"/>
        </w:rPr>
        <w:t>a complex mixture of various chemicals</w:t>
      </w:r>
      <w:r w:rsidR="00EF40C3" w:rsidRPr="008E1EAE">
        <w:rPr>
          <w:rFonts w:ascii="Arial" w:hAnsi="Arial" w:cs="Arial"/>
        </w:rPr>
        <w:t xml:space="preserve"> that are </w:t>
      </w:r>
      <w:r w:rsidRPr="008E1EAE">
        <w:rPr>
          <w:rFonts w:ascii="Arial" w:hAnsi="Arial" w:cs="Arial"/>
        </w:rPr>
        <w:t>fossil-derived</w:t>
      </w:r>
      <w:r w:rsidR="00EF40C3" w:rsidRPr="008E1EAE">
        <w:rPr>
          <w:rFonts w:ascii="Arial" w:hAnsi="Arial" w:cs="Arial"/>
        </w:rPr>
        <w:t>,</w:t>
      </w:r>
      <w:r w:rsidRPr="008E1EAE">
        <w:rPr>
          <w:rFonts w:ascii="Arial" w:hAnsi="Arial" w:cs="Arial"/>
        </w:rPr>
        <w:t xml:space="preserve"> although a growing number of biogenic sourced plastics are </w:t>
      </w:r>
      <w:r w:rsidR="00EF40C3" w:rsidRPr="008E1EAE">
        <w:rPr>
          <w:rFonts w:ascii="Arial" w:hAnsi="Arial" w:cs="Arial"/>
        </w:rPr>
        <w:t xml:space="preserve">now </w:t>
      </w:r>
      <w:r w:rsidRPr="008E1EAE">
        <w:rPr>
          <w:rFonts w:ascii="Arial" w:hAnsi="Arial" w:cs="Arial"/>
        </w:rPr>
        <w:t>being developed. Plastics, which do not biodegrade but photodegrade</w:t>
      </w:r>
      <w:r w:rsidR="00EF40C3" w:rsidRPr="008E1EAE">
        <w:rPr>
          <w:rFonts w:ascii="Arial" w:hAnsi="Arial" w:cs="Arial"/>
        </w:rPr>
        <w:t xml:space="preserve"> (</w:t>
      </w:r>
      <w:r w:rsidRPr="008E1EAE">
        <w:rPr>
          <w:rFonts w:ascii="Arial" w:hAnsi="Arial" w:cs="Arial"/>
        </w:rPr>
        <w:t>meaning they slowly break down into small</w:t>
      </w:r>
      <w:r w:rsidR="00EF40C3" w:rsidRPr="008E1EAE">
        <w:rPr>
          <w:rFonts w:ascii="Arial" w:hAnsi="Arial" w:cs="Arial"/>
        </w:rPr>
        <w:t>er</w:t>
      </w:r>
      <w:r w:rsidRPr="008E1EAE">
        <w:rPr>
          <w:rFonts w:ascii="Arial" w:hAnsi="Arial" w:cs="Arial"/>
        </w:rPr>
        <w:t xml:space="preserve"> fragments</w:t>
      </w:r>
      <w:r w:rsidR="00EF40C3" w:rsidRPr="008E1EAE">
        <w:rPr>
          <w:rFonts w:ascii="Arial" w:hAnsi="Arial" w:cs="Arial"/>
        </w:rPr>
        <w:t>)</w:t>
      </w:r>
      <w:r w:rsidRPr="008E1EAE">
        <w:rPr>
          <w:rFonts w:ascii="Arial" w:hAnsi="Arial" w:cs="Arial"/>
        </w:rPr>
        <w:t xml:space="preserve"> </w:t>
      </w:r>
      <w:r w:rsidR="00EF40C3" w:rsidRPr="008E1EAE">
        <w:rPr>
          <w:rFonts w:ascii="Arial" w:hAnsi="Arial" w:cs="Arial"/>
        </w:rPr>
        <w:t xml:space="preserve">are </w:t>
      </w:r>
      <w:r w:rsidRPr="008E1EAE">
        <w:rPr>
          <w:rFonts w:ascii="Arial" w:hAnsi="Arial" w:cs="Arial"/>
        </w:rPr>
        <w:t>known as micro-plastics.</w:t>
      </w:r>
    </w:p>
    <w:p w:rsidR="00B36528" w:rsidRPr="008E1EAE" w:rsidRDefault="00B36528" w:rsidP="00B36528">
      <w:pPr>
        <w:pStyle w:val="ListParagraph"/>
        <w:ind w:left="1080"/>
        <w:jc w:val="both"/>
        <w:rPr>
          <w:rFonts w:ascii="Arial" w:hAnsi="Arial" w:cs="Arial"/>
        </w:rPr>
      </w:pPr>
    </w:p>
    <w:p w:rsidR="006F095D" w:rsidRPr="008E1EAE" w:rsidRDefault="006F095D" w:rsidP="00B36528">
      <w:pPr>
        <w:pStyle w:val="ListParagraph"/>
        <w:numPr>
          <w:ilvl w:val="0"/>
          <w:numId w:val="8"/>
        </w:numPr>
        <w:jc w:val="both"/>
        <w:rPr>
          <w:rFonts w:ascii="Arial" w:hAnsi="Arial" w:cs="Arial"/>
        </w:rPr>
      </w:pPr>
      <w:r w:rsidRPr="008E1EAE">
        <w:rPr>
          <w:rFonts w:ascii="Arial" w:hAnsi="Arial" w:cs="Arial"/>
        </w:rPr>
        <w:t>D</w:t>
      </w:r>
      <w:r w:rsidR="00B9238D" w:rsidRPr="008E1EAE">
        <w:rPr>
          <w:rFonts w:ascii="Arial" w:hAnsi="Arial" w:cs="Arial"/>
        </w:rPr>
        <w:t xml:space="preserve">uring the break down of plastic, the </w:t>
      </w:r>
      <w:r w:rsidRPr="008E1EAE">
        <w:rPr>
          <w:rFonts w:ascii="Arial" w:hAnsi="Arial" w:cs="Arial"/>
        </w:rPr>
        <w:t xml:space="preserve">toxic chemicals used in </w:t>
      </w:r>
      <w:r w:rsidR="00EF40C3" w:rsidRPr="008E1EAE">
        <w:rPr>
          <w:rFonts w:ascii="Arial" w:hAnsi="Arial" w:cs="Arial"/>
        </w:rPr>
        <w:t>their</w:t>
      </w:r>
      <w:r w:rsidRPr="008E1EAE">
        <w:rPr>
          <w:rFonts w:ascii="Arial" w:hAnsi="Arial" w:cs="Arial"/>
        </w:rPr>
        <w:t xml:space="preserve"> formation are released into the environment. These pass into water supplies, rivers</w:t>
      </w:r>
      <w:r w:rsidR="00EF40C3" w:rsidRPr="008E1EAE">
        <w:rPr>
          <w:rFonts w:ascii="Arial" w:hAnsi="Arial" w:cs="Arial"/>
        </w:rPr>
        <w:t xml:space="preserve">, </w:t>
      </w:r>
      <w:r w:rsidRPr="008E1EAE">
        <w:rPr>
          <w:rFonts w:ascii="Arial" w:hAnsi="Arial" w:cs="Arial"/>
        </w:rPr>
        <w:t>seas and through farmland, where they are absorbed by plants and animals, and thus enter the food chain which includes the human food chain. Studies in Vienna have identified plast</w:t>
      </w:r>
      <w:r w:rsidR="00284FD5" w:rsidRPr="008E1EAE">
        <w:rPr>
          <w:rFonts w:ascii="Arial" w:hAnsi="Arial" w:cs="Arial"/>
        </w:rPr>
        <w:t>ic waste in the digestive tract</w:t>
      </w:r>
      <w:r w:rsidRPr="008E1EAE">
        <w:rPr>
          <w:rFonts w:ascii="Arial" w:hAnsi="Arial" w:cs="Arial"/>
        </w:rPr>
        <w:t xml:space="preserve"> of humans from eight different countries including the UK</w:t>
      </w:r>
      <w:r w:rsidRPr="008E1EAE">
        <w:rPr>
          <w:rStyle w:val="FootnoteReference"/>
          <w:rFonts w:ascii="Arial" w:hAnsi="Arial" w:cs="Arial"/>
        </w:rPr>
        <w:footnoteReference w:id="3"/>
      </w:r>
      <w:r w:rsidRPr="008E1EAE">
        <w:rPr>
          <w:rFonts w:ascii="Arial" w:hAnsi="Arial" w:cs="Arial"/>
        </w:rPr>
        <w:t>.</w:t>
      </w:r>
    </w:p>
    <w:p w:rsidR="00B36528" w:rsidRPr="008E1EAE" w:rsidRDefault="00B36528" w:rsidP="00B36528">
      <w:pPr>
        <w:pStyle w:val="ListParagraph"/>
        <w:ind w:left="1080" w:right="-46"/>
        <w:jc w:val="both"/>
        <w:rPr>
          <w:rFonts w:ascii="Arial" w:hAnsi="Arial" w:cs="Arial"/>
        </w:rPr>
      </w:pPr>
    </w:p>
    <w:p w:rsidR="006F095D" w:rsidRPr="008E1EAE" w:rsidRDefault="006F095D" w:rsidP="00B36528">
      <w:pPr>
        <w:pStyle w:val="ListParagraph"/>
        <w:numPr>
          <w:ilvl w:val="0"/>
          <w:numId w:val="8"/>
        </w:numPr>
        <w:ind w:right="-46"/>
        <w:jc w:val="both"/>
        <w:rPr>
          <w:rFonts w:ascii="Arial" w:hAnsi="Arial" w:cs="Arial"/>
        </w:rPr>
      </w:pPr>
      <w:r w:rsidRPr="008E1EAE">
        <w:rPr>
          <w:rFonts w:ascii="Arial" w:hAnsi="Arial" w:cs="Arial"/>
        </w:rPr>
        <w:t>The prevailing problems associated with the use of plastics need to be addressed in order to p</w:t>
      </w:r>
      <w:r w:rsidR="008C5634" w:rsidRPr="008E1EAE">
        <w:rPr>
          <w:rFonts w:ascii="Arial" w:hAnsi="Arial" w:cs="Arial"/>
        </w:rPr>
        <w:t>rotect the planet, environment</w:t>
      </w:r>
      <w:r w:rsidRPr="008E1EAE">
        <w:rPr>
          <w:rFonts w:ascii="Arial" w:hAnsi="Arial" w:cs="Arial"/>
        </w:rPr>
        <w:t xml:space="preserve"> and our own health. The internationally recognised waste hierarchy highlights that waste prevention is the most favourable option, with reuse and recycling following behind. </w:t>
      </w:r>
    </w:p>
    <w:p w:rsidR="00B36528" w:rsidRPr="008E1EAE" w:rsidRDefault="00B36528" w:rsidP="00B36528">
      <w:pPr>
        <w:pStyle w:val="ListParagraph"/>
        <w:ind w:left="1080" w:right="-46"/>
        <w:jc w:val="both"/>
        <w:rPr>
          <w:rFonts w:ascii="Arial" w:hAnsi="Arial" w:cs="Arial"/>
        </w:rPr>
      </w:pPr>
    </w:p>
    <w:p w:rsidR="006F095D" w:rsidRPr="008E1EAE" w:rsidRDefault="006F095D" w:rsidP="00B36528">
      <w:pPr>
        <w:pStyle w:val="ListParagraph"/>
        <w:numPr>
          <w:ilvl w:val="0"/>
          <w:numId w:val="8"/>
        </w:numPr>
        <w:ind w:right="-46"/>
        <w:jc w:val="both"/>
        <w:rPr>
          <w:rFonts w:ascii="Arial" w:hAnsi="Arial" w:cs="Arial"/>
        </w:rPr>
      </w:pPr>
      <w:r w:rsidRPr="008E1EAE">
        <w:rPr>
          <w:rFonts w:ascii="Arial" w:hAnsi="Arial" w:cs="Arial"/>
        </w:rPr>
        <w:t>SUP</w:t>
      </w:r>
      <w:r w:rsidR="00B36528" w:rsidRPr="008E1EAE">
        <w:rPr>
          <w:rFonts w:ascii="Arial" w:hAnsi="Arial" w:cs="Arial"/>
        </w:rPr>
        <w:t>’s</w:t>
      </w:r>
      <w:r w:rsidRPr="008E1EAE">
        <w:rPr>
          <w:rFonts w:ascii="Arial" w:hAnsi="Arial" w:cs="Arial"/>
        </w:rPr>
        <w:t xml:space="preserve"> go against this hierarchy, encouraging the least preferred options of waste disposal.</w:t>
      </w:r>
    </w:p>
    <w:p w:rsidR="00B36528" w:rsidRPr="008E1EAE" w:rsidRDefault="00B36528" w:rsidP="00B36528">
      <w:pPr>
        <w:pStyle w:val="ListParagraph"/>
        <w:ind w:left="1080" w:right="95"/>
        <w:jc w:val="both"/>
        <w:rPr>
          <w:rFonts w:ascii="Arial" w:hAnsi="Arial" w:cs="Arial"/>
        </w:rPr>
      </w:pPr>
    </w:p>
    <w:p w:rsidR="006F095D" w:rsidRPr="008E1EAE" w:rsidRDefault="006F095D" w:rsidP="00B36528">
      <w:pPr>
        <w:pStyle w:val="ListParagraph"/>
        <w:numPr>
          <w:ilvl w:val="0"/>
          <w:numId w:val="8"/>
        </w:numPr>
        <w:ind w:right="95"/>
        <w:jc w:val="both"/>
        <w:rPr>
          <w:rFonts w:ascii="Arial" w:hAnsi="Arial" w:cs="Arial"/>
        </w:rPr>
      </w:pPr>
      <w:r w:rsidRPr="008E1EAE">
        <w:rPr>
          <w:rFonts w:ascii="Arial" w:hAnsi="Arial" w:cs="Arial"/>
        </w:rPr>
        <w:t>South Ribble Borough Council are committed through its statutory and morale roles within the communities to prevent, reduce, reuse and recycle as much waste</w:t>
      </w:r>
      <w:r w:rsidR="00B7312E" w:rsidRPr="008E1EAE">
        <w:rPr>
          <w:rFonts w:ascii="Arial" w:hAnsi="Arial" w:cs="Arial"/>
        </w:rPr>
        <w:t>,</w:t>
      </w:r>
      <w:r w:rsidRPr="008E1EAE">
        <w:rPr>
          <w:rFonts w:ascii="Arial" w:hAnsi="Arial" w:cs="Arial"/>
        </w:rPr>
        <w:t xml:space="preserve"> including SUP</w:t>
      </w:r>
      <w:r w:rsidR="00133939" w:rsidRPr="008E1EAE">
        <w:rPr>
          <w:rFonts w:ascii="Arial" w:hAnsi="Arial" w:cs="Arial"/>
        </w:rPr>
        <w:t>’s</w:t>
      </w:r>
      <w:r w:rsidRPr="008E1EAE">
        <w:rPr>
          <w:rFonts w:ascii="Arial" w:hAnsi="Arial" w:cs="Arial"/>
        </w:rPr>
        <w:t xml:space="preserve"> as possible in all our activities.</w:t>
      </w:r>
    </w:p>
    <w:p w:rsidR="00B36528" w:rsidRPr="008E1EAE" w:rsidRDefault="00B36528" w:rsidP="00B36528">
      <w:pPr>
        <w:pStyle w:val="ListParagraph"/>
        <w:ind w:left="1080" w:right="95"/>
        <w:jc w:val="both"/>
        <w:rPr>
          <w:rFonts w:ascii="Arial" w:hAnsi="Arial" w:cs="Arial"/>
        </w:rPr>
      </w:pPr>
    </w:p>
    <w:p w:rsidR="00B36528" w:rsidRPr="008E1EAE" w:rsidRDefault="006F095D" w:rsidP="00133939">
      <w:pPr>
        <w:pStyle w:val="ListParagraph"/>
        <w:numPr>
          <w:ilvl w:val="0"/>
          <w:numId w:val="8"/>
        </w:numPr>
        <w:ind w:right="95"/>
        <w:jc w:val="both"/>
        <w:rPr>
          <w:rFonts w:ascii="Arial" w:hAnsi="Arial" w:cs="Arial"/>
        </w:rPr>
      </w:pPr>
      <w:r w:rsidRPr="008E1EAE">
        <w:rPr>
          <w:rFonts w:ascii="Arial" w:hAnsi="Arial" w:cs="Arial"/>
        </w:rPr>
        <w:t>The proposed SUP</w:t>
      </w:r>
      <w:r w:rsidR="00133939" w:rsidRPr="008E1EAE">
        <w:rPr>
          <w:rFonts w:ascii="Arial" w:hAnsi="Arial" w:cs="Arial"/>
        </w:rPr>
        <w:t>’s</w:t>
      </w:r>
      <w:r w:rsidRPr="008E1EAE">
        <w:rPr>
          <w:rFonts w:ascii="Arial" w:hAnsi="Arial" w:cs="Arial"/>
        </w:rPr>
        <w:t xml:space="preserve"> strategy will set out further aims and objectives to achieve this waste minimisation and to ensure the Council </w:t>
      </w:r>
      <w:r w:rsidR="00B36528" w:rsidRPr="008E1EAE">
        <w:rPr>
          <w:rFonts w:ascii="Arial" w:hAnsi="Arial" w:cs="Arial"/>
        </w:rPr>
        <w:t xml:space="preserve">will </w:t>
      </w:r>
      <w:r w:rsidR="00B7312E" w:rsidRPr="008E1EAE">
        <w:rPr>
          <w:rFonts w:ascii="Arial" w:hAnsi="Arial" w:cs="Arial"/>
        </w:rPr>
        <w:t xml:space="preserve">take a leading role in </w:t>
      </w:r>
      <w:r w:rsidR="00B36528" w:rsidRPr="008E1EAE">
        <w:rPr>
          <w:rFonts w:ascii="Arial" w:hAnsi="Arial" w:cs="Arial"/>
        </w:rPr>
        <w:t xml:space="preserve">protect the local environment and world ecosystems from the harmful impacts of single use plastics. </w:t>
      </w:r>
    </w:p>
    <w:p w:rsidR="008C04DA" w:rsidRPr="008E1EAE" w:rsidRDefault="008C04DA" w:rsidP="008C04DA">
      <w:pPr>
        <w:keepNext/>
        <w:ind w:left="360"/>
        <w:outlineLvl w:val="0"/>
        <w:rPr>
          <w:rFonts w:cs="Arial"/>
          <w:szCs w:val="22"/>
        </w:rPr>
      </w:pPr>
    </w:p>
    <w:p w:rsidR="008C04DA" w:rsidRPr="008E1EAE" w:rsidRDefault="0037228A" w:rsidP="002C71DE">
      <w:pPr>
        <w:keepNext/>
        <w:outlineLvl w:val="0"/>
        <w:rPr>
          <w:rFonts w:cs="Arial"/>
          <w:b/>
          <w:szCs w:val="22"/>
        </w:rPr>
      </w:pPr>
      <w:r w:rsidRPr="008E1EAE">
        <w:rPr>
          <w:rFonts w:cs="Arial"/>
          <w:b/>
          <w:szCs w:val="22"/>
        </w:rPr>
        <w:t xml:space="preserve">PROPOSALS </w:t>
      </w:r>
      <w:r w:rsidR="002F5C5E" w:rsidRPr="008E1EAE">
        <w:rPr>
          <w:rFonts w:cs="Arial"/>
          <w:b/>
          <w:szCs w:val="22"/>
        </w:rPr>
        <w:t>(e.g.</w:t>
      </w:r>
      <w:r w:rsidR="00814F6D" w:rsidRPr="008E1EAE">
        <w:rPr>
          <w:rFonts w:cs="Arial"/>
          <w:b/>
          <w:szCs w:val="22"/>
        </w:rPr>
        <w:t xml:space="preserve"> </w:t>
      </w:r>
      <w:r w:rsidR="002F5C5E" w:rsidRPr="008E1EAE">
        <w:rPr>
          <w:rFonts w:cs="Arial"/>
          <w:b/>
          <w:szCs w:val="22"/>
        </w:rPr>
        <w:t>RATIONALE, DETAIL</w:t>
      </w:r>
      <w:r w:rsidR="00D37BAE" w:rsidRPr="008E1EAE">
        <w:rPr>
          <w:rFonts w:cs="Arial"/>
          <w:b/>
          <w:szCs w:val="22"/>
        </w:rPr>
        <w:t>, FINANCIAL, PROCUREMENT</w:t>
      </w:r>
      <w:r w:rsidR="002F5C5E" w:rsidRPr="008E1EAE">
        <w:rPr>
          <w:rFonts w:cs="Arial"/>
          <w:b/>
          <w:szCs w:val="22"/>
        </w:rPr>
        <w:t>)</w:t>
      </w:r>
    </w:p>
    <w:p w:rsidR="00EF3B6C" w:rsidRPr="008E1EAE" w:rsidRDefault="00EF3B6C" w:rsidP="00EF3B6C">
      <w:pPr>
        <w:keepNext/>
        <w:ind w:left="567"/>
        <w:outlineLvl w:val="0"/>
        <w:rPr>
          <w:rFonts w:cs="Arial"/>
          <w:b/>
          <w:szCs w:val="22"/>
        </w:rPr>
      </w:pPr>
    </w:p>
    <w:p w:rsidR="008C04DA" w:rsidRPr="008E1EAE" w:rsidRDefault="00B36528" w:rsidP="00B36528">
      <w:pPr>
        <w:pStyle w:val="ListParagraph"/>
        <w:keepNext/>
        <w:numPr>
          <w:ilvl w:val="0"/>
          <w:numId w:val="8"/>
        </w:numPr>
        <w:jc w:val="both"/>
        <w:outlineLvl w:val="0"/>
        <w:rPr>
          <w:rFonts w:ascii="Arial" w:hAnsi="Arial" w:cs="Arial"/>
        </w:rPr>
      </w:pPr>
      <w:r w:rsidRPr="008E1EAE">
        <w:rPr>
          <w:rFonts w:ascii="Arial" w:hAnsi="Arial" w:cs="Arial"/>
        </w:rPr>
        <w:t>To adopt the draft Single Use Plastics Strategy.</w:t>
      </w:r>
    </w:p>
    <w:p w:rsidR="00B36528" w:rsidRPr="008E1EAE" w:rsidRDefault="00B36528" w:rsidP="00B36528">
      <w:pPr>
        <w:pStyle w:val="ListParagraph"/>
        <w:keepNext/>
        <w:ind w:left="1080"/>
        <w:jc w:val="both"/>
        <w:outlineLvl w:val="0"/>
        <w:rPr>
          <w:rFonts w:ascii="Arial" w:hAnsi="Arial" w:cs="Arial"/>
        </w:rPr>
      </w:pPr>
    </w:p>
    <w:p w:rsidR="00B36528" w:rsidRPr="008E1EAE" w:rsidRDefault="00B36528" w:rsidP="00B36528">
      <w:pPr>
        <w:pStyle w:val="ListParagraph"/>
        <w:keepNext/>
        <w:numPr>
          <w:ilvl w:val="0"/>
          <w:numId w:val="8"/>
        </w:numPr>
        <w:jc w:val="both"/>
        <w:outlineLvl w:val="0"/>
        <w:rPr>
          <w:rFonts w:ascii="Arial" w:hAnsi="Arial" w:cs="Arial"/>
        </w:rPr>
      </w:pPr>
      <w:r w:rsidRPr="008E1EAE">
        <w:rPr>
          <w:rFonts w:ascii="Arial" w:hAnsi="Arial" w:cs="Arial"/>
        </w:rPr>
        <w:t xml:space="preserve">Via the Climate </w:t>
      </w:r>
      <w:r w:rsidR="008C5634" w:rsidRPr="008E1EAE">
        <w:rPr>
          <w:rFonts w:ascii="Arial" w:hAnsi="Arial" w:cs="Arial"/>
        </w:rPr>
        <w:t xml:space="preserve">Emergency </w:t>
      </w:r>
      <w:r w:rsidR="00B7312E" w:rsidRPr="008E1EAE">
        <w:rPr>
          <w:rFonts w:ascii="Arial" w:hAnsi="Arial" w:cs="Arial"/>
        </w:rPr>
        <w:t>T</w:t>
      </w:r>
      <w:r w:rsidR="008C5634" w:rsidRPr="008E1EAE">
        <w:rPr>
          <w:rFonts w:ascii="Arial" w:hAnsi="Arial" w:cs="Arial"/>
        </w:rPr>
        <w:t xml:space="preserve">ask </w:t>
      </w:r>
      <w:r w:rsidR="00B7312E" w:rsidRPr="008E1EAE">
        <w:rPr>
          <w:rFonts w:ascii="Arial" w:hAnsi="Arial" w:cs="Arial"/>
        </w:rPr>
        <w:t>G</w:t>
      </w:r>
      <w:r w:rsidR="008C5634" w:rsidRPr="008E1EAE">
        <w:rPr>
          <w:rFonts w:ascii="Arial" w:hAnsi="Arial" w:cs="Arial"/>
        </w:rPr>
        <w:t>roup,</w:t>
      </w:r>
      <w:r w:rsidRPr="008E1EAE">
        <w:rPr>
          <w:rFonts w:ascii="Arial" w:hAnsi="Arial" w:cs="Arial"/>
        </w:rPr>
        <w:t xml:space="preserve"> progress the aims and objectives of the strategy to minimise and ultimately prevent the use of single use plastics within all Council operations.</w:t>
      </w:r>
    </w:p>
    <w:p w:rsidR="00B36528" w:rsidRPr="008E1EAE" w:rsidRDefault="00B36528" w:rsidP="00B36528">
      <w:pPr>
        <w:pStyle w:val="ListParagraph"/>
        <w:keepNext/>
        <w:ind w:left="1080"/>
        <w:jc w:val="both"/>
        <w:outlineLvl w:val="0"/>
        <w:rPr>
          <w:rFonts w:ascii="Arial" w:hAnsi="Arial" w:cs="Arial"/>
        </w:rPr>
      </w:pPr>
    </w:p>
    <w:p w:rsidR="00B36528" w:rsidRPr="008E1EAE" w:rsidRDefault="00B36528" w:rsidP="00B36528">
      <w:pPr>
        <w:pStyle w:val="ListParagraph"/>
        <w:keepNext/>
        <w:numPr>
          <w:ilvl w:val="0"/>
          <w:numId w:val="8"/>
        </w:numPr>
        <w:jc w:val="both"/>
        <w:outlineLvl w:val="0"/>
        <w:rPr>
          <w:rFonts w:ascii="Arial" w:hAnsi="Arial" w:cs="Arial"/>
        </w:rPr>
      </w:pPr>
      <w:r w:rsidRPr="008E1EAE">
        <w:rPr>
          <w:rFonts w:ascii="Arial" w:hAnsi="Arial" w:cs="Arial"/>
        </w:rPr>
        <w:t>To discourage the use of single use plastics within the borough by residents, businesses and visitors.</w:t>
      </w:r>
    </w:p>
    <w:p w:rsidR="00D10AC1" w:rsidRPr="008E1EAE" w:rsidRDefault="00D10AC1" w:rsidP="00D10AC1">
      <w:pPr>
        <w:keepNext/>
        <w:jc w:val="both"/>
        <w:outlineLvl w:val="0"/>
        <w:rPr>
          <w:rFonts w:cs="Arial"/>
          <w:b/>
        </w:rPr>
      </w:pPr>
      <w:r w:rsidRPr="008E1EAE">
        <w:rPr>
          <w:rFonts w:cs="Arial"/>
          <w:b/>
        </w:rPr>
        <w:t>CONSULTATION CARRIED OUT AND OUTCOME OF CONSULTATION</w:t>
      </w:r>
    </w:p>
    <w:p w:rsidR="00D10AC1" w:rsidRPr="008E1EAE" w:rsidRDefault="00D10AC1" w:rsidP="00D10AC1">
      <w:pPr>
        <w:keepNext/>
        <w:jc w:val="both"/>
        <w:outlineLvl w:val="0"/>
        <w:rPr>
          <w:rFonts w:cs="Arial"/>
          <w:b/>
        </w:rPr>
      </w:pPr>
    </w:p>
    <w:p w:rsidR="00D10AC1" w:rsidRPr="008E1EAE" w:rsidRDefault="00D10AC1" w:rsidP="00B36528">
      <w:pPr>
        <w:pStyle w:val="ListParagraph"/>
        <w:keepNext/>
        <w:numPr>
          <w:ilvl w:val="0"/>
          <w:numId w:val="8"/>
        </w:numPr>
        <w:jc w:val="both"/>
        <w:outlineLvl w:val="0"/>
        <w:rPr>
          <w:rFonts w:ascii="Arial" w:hAnsi="Arial" w:cs="Arial"/>
        </w:rPr>
      </w:pPr>
      <w:r w:rsidRPr="008E1EAE">
        <w:rPr>
          <w:rFonts w:ascii="Arial" w:hAnsi="Arial" w:cs="Arial"/>
        </w:rPr>
        <w:t>Consultation will be c</w:t>
      </w:r>
      <w:r w:rsidR="00133939" w:rsidRPr="008E1EAE">
        <w:rPr>
          <w:rFonts w:ascii="Arial" w:hAnsi="Arial" w:cs="Arial"/>
        </w:rPr>
        <w:t xml:space="preserve">onsidered by the Climate </w:t>
      </w:r>
      <w:r w:rsidRPr="008E1EAE">
        <w:rPr>
          <w:rFonts w:ascii="Arial" w:hAnsi="Arial" w:cs="Arial"/>
        </w:rPr>
        <w:t>Emergency Task Group.</w:t>
      </w:r>
    </w:p>
    <w:p w:rsidR="008C04DA" w:rsidRPr="008E1EAE" w:rsidRDefault="008C04DA" w:rsidP="00AA732E">
      <w:pPr>
        <w:rPr>
          <w:rFonts w:cs="Arial"/>
          <w:b/>
        </w:rPr>
      </w:pPr>
    </w:p>
    <w:p w:rsidR="001A24F9" w:rsidRPr="008E1EAE" w:rsidRDefault="008770BE" w:rsidP="002C71DE">
      <w:pPr>
        <w:rPr>
          <w:rFonts w:cs="Arial"/>
          <w:b/>
        </w:rPr>
      </w:pPr>
      <w:r w:rsidRPr="008E1EAE">
        <w:rPr>
          <w:rFonts w:cs="Arial"/>
          <w:b/>
        </w:rPr>
        <w:t>ALTER</w:t>
      </w:r>
      <w:r w:rsidR="00594D09" w:rsidRPr="008E1EAE">
        <w:rPr>
          <w:rFonts w:cs="Arial"/>
          <w:b/>
        </w:rPr>
        <w:t xml:space="preserve">NATIVE </w:t>
      </w:r>
      <w:r w:rsidR="001A24F9" w:rsidRPr="008E1EAE">
        <w:rPr>
          <w:rFonts w:cs="Arial"/>
          <w:b/>
        </w:rPr>
        <w:t xml:space="preserve">OPTIONS CONSIDERED </w:t>
      </w:r>
      <w:r w:rsidR="00CC4337" w:rsidRPr="008E1EAE">
        <w:rPr>
          <w:rFonts w:cs="Arial"/>
          <w:b/>
        </w:rPr>
        <w:t>AND REJECTED</w:t>
      </w:r>
    </w:p>
    <w:p w:rsidR="007A0801" w:rsidRPr="008E1EAE" w:rsidRDefault="007A0801" w:rsidP="0041646D">
      <w:pPr>
        <w:ind w:left="567"/>
        <w:jc w:val="both"/>
        <w:rPr>
          <w:rFonts w:cs="Arial"/>
        </w:rPr>
      </w:pPr>
    </w:p>
    <w:p w:rsidR="001A24F9" w:rsidRPr="008E1EAE" w:rsidRDefault="0041646D" w:rsidP="0041646D">
      <w:pPr>
        <w:pStyle w:val="ListParagraph"/>
        <w:numPr>
          <w:ilvl w:val="0"/>
          <w:numId w:val="8"/>
        </w:numPr>
        <w:jc w:val="both"/>
        <w:rPr>
          <w:rFonts w:ascii="Arial" w:hAnsi="Arial" w:cs="Arial"/>
        </w:rPr>
      </w:pPr>
      <w:r w:rsidRPr="008E1EAE">
        <w:rPr>
          <w:rFonts w:ascii="Arial" w:hAnsi="Arial" w:cs="Arial"/>
        </w:rPr>
        <w:t>The alternative to the adoption of the strategy is to not adopt it, and to decide not to take any action ove</w:t>
      </w:r>
      <w:r w:rsidR="00133939" w:rsidRPr="008E1EAE">
        <w:rPr>
          <w:rFonts w:ascii="Arial" w:hAnsi="Arial" w:cs="Arial"/>
        </w:rPr>
        <w:t>r the use of SUP’s</w:t>
      </w:r>
      <w:r w:rsidRPr="008E1EAE">
        <w:rPr>
          <w:rFonts w:ascii="Arial" w:hAnsi="Arial" w:cs="Arial"/>
        </w:rPr>
        <w:t xml:space="preserve"> and the damaging harmful impact they are having on the environment and human health.</w:t>
      </w:r>
    </w:p>
    <w:p w:rsidR="001A24F9" w:rsidRPr="008E1EAE" w:rsidRDefault="001A24F9" w:rsidP="001A24F9">
      <w:pPr>
        <w:rPr>
          <w:rFonts w:cs="Arial"/>
          <w:b/>
        </w:rPr>
      </w:pPr>
    </w:p>
    <w:p w:rsidR="001A24F9" w:rsidRPr="008E1EAE" w:rsidRDefault="001A24F9" w:rsidP="002C71DE">
      <w:pPr>
        <w:rPr>
          <w:rFonts w:cs="Arial"/>
          <w:b/>
          <w:caps/>
        </w:rPr>
      </w:pPr>
      <w:r w:rsidRPr="008E1EAE">
        <w:rPr>
          <w:rFonts w:cs="Arial"/>
          <w:b/>
          <w:caps/>
        </w:rPr>
        <w:t>Financial implications</w:t>
      </w:r>
    </w:p>
    <w:p w:rsidR="007A0801" w:rsidRPr="008E1EAE" w:rsidRDefault="007A0801" w:rsidP="007A0801">
      <w:pPr>
        <w:ind w:left="567"/>
        <w:rPr>
          <w:rFonts w:cs="Arial"/>
          <w:b/>
          <w:caps/>
        </w:rPr>
      </w:pPr>
    </w:p>
    <w:p w:rsidR="00F96B67" w:rsidRPr="008E1EAE" w:rsidRDefault="0041646D" w:rsidP="001A24F9">
      <w:pPr>
        <w:pStyle w:val="ListParagraph"/>
        <w:numPr>
          <w:ilvl w:val="0"/>
          <w:numId w:val="8"/>
        </w:numPr>
        <w:jc w:val="both"/>
        <w:rPr>
          <w:rFonts w:ascii="Arial" w:hAnsi="Arial" w:cs="Arial"/>
          <w:caps/>
        </w:rPr>
      </w:pPr>
      <w:r w:rsidRPr="008E1EAE">
        <w:rPr>
          <w:rFonts w:ascii="Arial" w:hAnsi="Arial" w:cs="Arial"/>
        </w:rPr>
        <w:t xml:space="preserve">The adoption of the Single Use Plastics Strategy will not have any direct financial implications at this time. As the aims and objectives are developed by the Climate Emergency Task Group some financial implications may occur and these will need to be considered at an appropriate </w:t>
      </w:r>
      <w:r w:rsidR="00F96B67" w:rsidRPr="008E1EAE">
        <w:rPr>
          <w:rFonts w:ascii="Arial" w:hAnsi="Arial" w:cs="Arial"/>
        </w:rPr>
        <w:t>level at the time.</w:t>
      </w:r>
    </w:p>
    <w:p w:rsidR="00F96B67" w:rsidRPr="008E1EAE" w:rsidRDefault="00F96B67" w:rsidP="001A24F9">
      <w:pPr>
        <w:rPr>
          <w:rFonts w:cs="Arial"/>
          <w:b/>
          <w:color w:val="2E74B5" w:themeColor="accent1" w:themeShade="BF"/>
        </w:rPr>
      </w:pPr>
    </w:p>
    <w:p w:rsidR="007A0801" w:rsidRPr="008E1EAE" w:rsidRDefault="007A0801" w:rsidP="002C71DE">
      <w:pPr>
        <w:rPr>
          <w:rFonts w:cs="Arial"/>
          <w:b/>
          <w:caps/>
        </w:rPr>
      </w:pPr>
      <w:r w:rsidRPr="008E1EAE">
        <w:rPr>
          <w:rFonts w:cs="Arial"/>
          <w:b/>
          <w:caps/>
        </w:rPr>
        <w:t>LEGAL IMPLICATIONS</w:t>
      </w:r>
    </w:p>
    <w:p w:rsidR="007A0801" w:rsidRPr="008E1EAE" w:rsidRDefault="007A0801" w:rsidP="007A0801">
      <w:pPr>
        <w:rPr>
          <w:rFonts w:cs="Arial"/>
          <w:b/>
          <w:caps/>
        </w:rPr>
      </w:pPr>
    </w:p>
    <w:p w:rsidR="00EF3B6C" w:rsidRPr="008E1EAE" w:rsidRDefault="00F96B67" w:rsidP="00F96B67">
      <w:pPr>
        <w:pStyle w:val="ListParagraph"/>
        <w:numPr>
          <w:ilvl w:val="0"/>
          <w:numId w:val="8"/>
        </w:numPr>
        <w:jc w:val="both"/>
        <w:rPr>
          <w:rFonts w:ascii="Arial" w:hAnsi="Arial" w:cs="Arial"/>
          <w:caps/>
        </w:rPr>
      </w:pPr>
      <w:r w:rsidRPr="008E1EAE">
        <w:rPr>
          <w:rFonts w:ascii="Arial" w:hAnsi="Arial" w:cs="Arial"/>
        </w:rPr>
        <w:t>There are no current legal implica</w:t>
      </w:r>
      <w:r w:rsidR="00133939" w:rsidRPr="008E1EAE">
        <w:rPr>
          <w:rFonts w:ascii="Arial" w:hAnsi="Arial" w:cs="Arial"/>
        </w:rPr>
        <w:t>tions with the adoption of the Single Use Plastics S</w:t>
      </w:r>
      <w:r w:rsidRPr="008E1EAE">
        <w:rPr>
          <w:rFonts w:ascii="Arial" w:hAnsi="Arial" w:cs="Arial"/>
        </w:rPr>
        <w:t>trategy.</w:t>
      </w:r>
    </w:p>
    <w:p w:rsidR="002C71DE" w:rsidRPr="008E1EAE" w:rsidRDefault="002C71DE" w:rsidP="002C71DE">
      <w:pPr>
        <w:rPr>
          <w:rFonts w:cs="Arial"/>
          <w:b/>
          <w:caps/>
        </w:rPr>
      </w:pPr>
      <w:r w:rsidRPr="008E1EAE">
        <w:rPr>
          <w:rFonts w:cs="Arial"/>
          <w:b/>
          <w:caps/>
        </w:rPr>
        <w:t>AIR QUALITY IMPLICATIONS</w:t>
      </w:r>
    </w:p>
    <w:p w:rsidR="002C71DE" w:rsidRPr="008E1EAE" w:rsidRDefault="002C71DE" w:rsidP="00F96B67">
      <w:pPr>
        <w:jc w:val="both"/>
        <w:rPr>
          <w:rFonts w:cs="Arial"/>
          <w:b/>
          <w:caps/>
        </w:rPr>
      </w:pPr>
    </w:p>
    <w:p w:rsidR="002C71DE" w:rsidRPr="008E1EAE" w:rsidRDefault="00F96B67" w:rsidP="00F96B67">
      <w:pPr>
        <w:pStyle w:val="ListParagraph"/>
        <w:numPr>
          <w:ilvl w:val="0"/>
          <w:numId w:val="8"/>
        </w:numPr>
        <w:jc w:val="both"/>
        <w:rPr>
          <w:rFonts w:ascii="Arial" w:hAnsi="Arial" w:cs="Arial"/>
          <w:caps/>
        </w:rPr>
      </w:pPr>
      <w:r w:rsidRPr="008E1EAE">
        <w:rPr>
          <w:rFonts w:ascii="Arial" w:hAnsi="Arial" w:cs="Arial"/>
        </w:rPr>
        <w:t xml:space="preserve">There are no direct implications on air quality from adoption of the </w:t>
      </w:r>
      <w:r w:rsidR="00133939" w:rsidRPr="008E1EAE">
        <w:rPr>
          <w:rFonts w:ascii="Arial" w:hAnsi="Arial" w:cs="Arial"/>
        </w:rPr>
        <w:t>Single Use Plastics S</w:t>
      </w:r>
      <w:r w:rsidRPr="008E1EAE">
        <w:rPr>
          <w:rFonts w:ascii="Arial" w:hAnsi="Arial" w:cs="Arial"/>
        </w:rPr>
        <w:t>trategy.</w:t>
      </w:r>
    </w:p>
    <w:p w:rsidR="007A0801" w:rsidRPr="008E1EAE" w:rsidRDefault="007A0801" w:rsidP="007A0801">
      <w:pPr>
        <w:rPr>
          <w:rFonts w:cs="Arial"/>
          <w:caps/>
        </w:rPr>
      </w:pPr>
    </w:p>
    <w:p w:rsidR="001A24F9" w:rsidRPr="008E1EAE" w:rsidRDefault="001A24F9" w:rsidP="002C71DE">
      <w:pPr>
        <w:rPr>
          <w:rFonts w:cs="Arial"/>
          <w:b/>
          <w:caps/>
        </w:rPr>
      </w:pPr>
      <w:r w:rsidRPr="008E1EAE">
        <w:rPr>
          <w:rFonts w:cs="Arial"/>
          <w:b/>
          <w:caps/>
        </w:rPr>
        <w:t>Human Resources and Organisational Development implications</w:t>
      </w:r>
    </w:p>
    <w:p w:rsidR="007A0801" w:rsidRPr="008E1EAE" w:rsidRDefault="007A0801" w:rsidP="007A0801">
      <w:pPr>
        <w:ind w:left="567"/>
        <w:rPr>
          <w:rFonts w:cs="Arial"/>
          <w:b/>
          <w:caps/>
        </w:rPr>
      </w:pPr>
    </w:p>
    <w:p w:rsidR="004C7703" w:rsidRPr="008E1EAE" w:rsidRDefault="004C7703" w:rsidP="004C7703">
      <w:pPr>
        <w:pStyle w:val="ListParagraph"/>
        <w:numPr>
          <w:ilvl w:val="0"/>
          <w:numId w:val="8"/>
        </w:numPr>
        <w:jc w:val="both"/>
        <w:rPr>
          <w:rFonts w:ascii="Arial" w:hAnsi="Arial" w:cs="Arial"/>
          <w:caps/>
        </w:rPr>
      </w:pPr>
      <w:r w:rsidRPr="008E1EAE">
        <w:rPr>
          <w:rFonts w:ascii="Arial" w:hAnsi="Arial" w:cs="Arial"/>
        </w:rPr>
        <w:t>There are no direct imp</w:t>
      </w:r>
      <w:r w:rsidR="00133939" w:rsidRPr="008E1EAE">
        <w:rPr>
          <w:rFonts w:ascii="Arial" w:hAnsi="Arial" w:cs="Arial"/>
        </w:rPr>
        <w:t>lications from adoption of the Single Use Plastics S</w:t>
      </w:r>
      <w:r w:rsidRPr="008E1EAE">
        <w:rPr>
          <w:rFonts w:ascii="Arial" w:hAnsi="Arial" w:cs="Arial"/>
        </w:rPr>
        <w:t>trategy.</w:t>
      </w:r>
    </w:p>
    <w:p w:rsidR="001A24F9" w:rsidRPr="008E1EAE" w:rsidRDefault="001A24F9" w:rsidP="001A24F9">
      <w:pPr>
        <w:rPr>
          <w:rFonts w:cs="Arial"/>
          <w:b/>
        </w:rPr>
      </w:pPr>
    </w:p>
    <w:p w:rsidR="001A24F9" w:rsidRPr="008E1EAE" w:rsidRDefault="001A24F9" w:rsidP="002C71DE">
      <w:pPr>
        <w:rPr>
          <w:rFonts w:cs="Arial"/>
          <w:b/>
          <w:caps/>
        </w:rPr>
      </w:pPr>
      <w:r w:rsidRPr="008E1EAE">
        <w:rPr>
          <w:rFonts w:cs="Arial"/>
          <w:b/>
          <w:caps/>
        </w:rPr>
        <w:t>ICT/technology implications</w:t>
      </w:r>
    </w:p>
    <w:p w:rsidR="00911FD5" w:rsidRPr="008E1EAE" w:rsidRDefault="00911FD5" w:rsidP="00911FD5">
      <w:pPr>
        <w:ind w:left="567"/>
        <w:rPr>
          <w:rFonts w:cs="Arial"/>
          <w:b/>
          <w:caps/>
        </w:rPr>
      </w:pPr>
    </w:p>
    <w:p w:rsidR="004C7703" w:rsidRPr="008E1EAE" w:rsidRDefault="004C7703" w:rsidP="004C7703">
      <w:pPr>
        <w:pStyle w:val="ListParagraph"/>
        <w:numPr>
          <w:ilvl w:val="0"/>
          <w:numId w:val="8"/>
        </w:numPr>
        <w:jc w:val="both"/>
        <w:rPr>
          <w:rFonts w:ascii="Arial" w:hAnsi="Arial" w:cs="Arial"/>
          <w:caps/>
        </w:rPr>
      </w:pPr>
      <w:r w:rsidRPr="008E1EAE">
        <w:rPr>
          <w:rFonts w:ascii="Arial" w:hAnsi="Arial" w:cs="Arial"/>
        </w:rPr>
        <w:t xml:space="preserve">There are no direct implications from adoption of </w:t>
      </w:r>
      <w:r w:rsidR="00133939" w:rsidRPr="008E1EAE">
        <w:rPr>
          <w:rFonts w:ascii="Arial" w:hAnsi="Arial" w:cs="Arial"/>
        </w:rPr>
        <w:t>the Single Use Plastics S</w:t>
      </w:r>
      <w:r w:rsidRPr="008E1EAE">
        <w:rPr>
          <w:rFonts w:ascii="Arial" w:hAnsi="Arial" w:cs="Arial"/>
        </w:rPr>
        <w:t>trategy.</w:t>
      </w:r>
    </w:p>
    <w:p w:rsidR="001A24F9" w:rsidRPr="008E1EAE" w:rsidRDefault="001A24F9" w:rsidP="001A24F9">
      <w:pPr>
        <w:rPr>
          <w:rFonts w:cs="Arial"/>
          <w:b/>
        </w:rPr>
      </w:pPr>
    </w:p>
    <w:p w:rsidR="001A24F9" w:rsidRPr="008E1EAE" w:rsidRDefault="001A24F9" w:rsidP="002C71DE">
      <w:pPr>
        <w:rPr>
          <w:rFonts w:cs="Arial"/>
          <w:b/>
          <w:caps/>
        </w:rPr>
      </w:pPr>
      <w:r w:rsidRPr="008E1EAE">
        <w:rPr>
          <w:rFonts w:cs="Arial"/>
          <w:b/>
          <w:caps/>
        </w:rPr>
        <w:t>Property and Asset Management implications</w:t>
      </w:r>
    </w:p>
    <w:p w:rsidR="00911FD5" w:rsidRPr="008E1EAE" w:rsidRDefault="00911FD5" w:rsidP="00911FD5">
      <w:pPr>
        <w:ind w:left="567"/>
        <w:rPr>
          <w:rFonts w:cs="Arial"/>
          <w:b/>
          <w:caps/>
        </w:rPr>
      </w:pPr>
    </w:p>
    <w:p w:rsidR="004C7703" w:rsidRPr="008E1EAE" w:rsidRDefault="004C7703" w:rsidP="004C7703">
      <w:pPr>
        <w:pStyle w:val="ListParagraph"/>
        <w:numPr>
          <w:ilvl w:val="0"/>
          <w:numId w:val="8"/>
        </w:numPr>
        <w:jc w:val="both"/>
        <w:rPr>
          <w:rFonts w:ascii="Arial" w:hAnsi="Arial" w:cs="Arial"/>
          <w:caps/>
        </w:rPr>
      </w:pPr>
      <w:r w:rsidRPr="008E1EAE">
        <w:rPr>
          <w:rFonts w:ascii="Arial" w:hAnsi="Arial" w:cs="Arial"/>
        </w:rPr>
        <w:t>There are no direct imp</w:t>
      </w:r>
      <w:r w:rsidR="00133939" w:rsidRPr="008E1EAE">
        <w:rPr>
          <w:rFonts w:ascii="Arial" w:hAnsi="Arial" w:cs="Arial"/>
        </w:rPr>
        <w:t>lications from adoption of the Single Use Plastics S</w:t>
      </w:r>
      <w:r w:rsidRPr="008E1EAE">
        <w:rPr>
          <w:rFonts w:ascii="Arial" w:hAnsi="Arial" w:cs="Arial"/>
        </w:rPr>
        <w:t>trategy.</w:t>
      </w:r>
    </w:p>
    <w:p w:rsidR="009063C4" w:rsidRPr="008E1EAE" w:rsidRDefault="009063C4" w:rsidP="002C71DE">
      <w:pPr>
        <w:rPr>
          <w:rFonts w:cs="Arial"/>
          <w:b/>
        </w:rPr>
      </w:pPr>
    </w:p>
    <w:p w:rsidR="001A24F9" w:rsidRPr="008E1EAE" w:rsidRDefault="001A24F9" w:rsidP="002C71DE">
      <w:pPr>
        <w:rPr>
          <w:rFonts w:cs="Arial"/>
          <w:b/>
        </w:rPr>
      </w:pPr>
      <w:r w:rsidRPr="008E1EAE">
        <w:rPr>
          <w:rFonts w:cs="Arial"/>
          <w:b/>
        </w:rPr>
        <w:t>RISK MANAGEMENT</w:t>
      </w:r>
    </w:p>
    <w:p w:rsidR="00911FD5" w:rsidRPr="008E1EAE" w:rsidRDefault="00911FD5" w:rsidP="00911FD5">
      <w:pPr>
        <w:ind w:left="567"/>
        <w:rPr>
          <w:rFonts w:cs="Arial"/>
          <w:b/>
        </w:rPr>
      </w:pPr>
    </w:p>
    <w:p w:rsidR="004C7703" w:rsidRPr="008E1EAE" w:rsidRDefault="004C7703" w:rsidP="004C7703">
      <w:pPr>
        <w:pStyle w:val="ListParagraph"/>
        <w:numPr>
          <w:ilvl w:val="0"/>
          <w:numId w:val="8"/>
        </w:numPr>
        <w:jc w:val="both"/>
        <w:rPr>
          <w:rFonts w:ascii="Arial" w:hAnsi="Arial" w:cs="Arial"/>
          <w:caps/>
        </w:rPr>
      </w:pPr>
      <w:r w:rsidRPr="008E1EAE">
        <w:rPr>
          <w:rFonts w:ascii="Arial" w:hAnsi="Arial" w:cs="Arial"/>
        </w:rPr>
        <w:t>There are no direct imp</w:t>
      </w:r>
      <w:r w:rsidR="00133939" w:rsidRPr="008E1EAE">
        <w:rPr>
          <w:rFonts w:ascii="Arial" w:hAnsi="Arial" w:cs="Arial"/>
        </w:rPr>
        <w:t>lications from adoption of the Single Use P</w:t>
      </w:r>
      <w:r w:rsidRPr="008E1EAE">
        <w:rPr>
          <w:rFonts w:ascii="Arial" w:hAnsi="Arial" w:cs="Arial"/>
        </w:rPr>
        <w:t xml:space="preserve">lastics </w:t>
      </w:r>
      <w:r w:rsidR="00133939" w:rsidRPr="008E1EAE">
        <w:rPr>
          <w:rFonts w:ascii="Arial" w:hAnsi="Arial" w:cs="Arial"/>
        </w:rPr>
        <w:t>S</w:t>
      </w:r>
      <w:r w:rsidRPr="008E1EAE">
        <w:rPr>
          <w:rFonts w:ascii="Arial" w:hAnsi="Arial" w:cs="Arial"/>
        </w:rPr>
        <w:t>trategy.</w:t>
      </w:r>
    </w:p>
    <w:p w:rsidR="002C71DE" w:rsidRPr="008E1EAE" w:rsidRDefault="002C71DE" w:rsidP="002C71DE">
      <w:pPr>
        <w:pStyle w:val="ListParagraph"/>
        <w:ind w:left="1080"/>
        <w:rPr>
          <w:rFonts w:ascii="Arial" w:hAnsi="Arial" w:cs="Arial"/>
          <w:b/>
        </w:rPr>
      </w:pPr>
    </w:p>
    <w:p w:rsidR="001A24F9" w:rsidRPr="008E1EAE" w:rsidRDefault="001A24F9" w:rsidP="002C71DE">
      <w:pPr>
        <w:rPr>
          <w:rFonts w:cs="Arial"/>
          <w:b/>
        </w:rPr>
      </w:pPr>
      <w:r w:rsidRPr="008E1EAE">
        <w:rPr>
          <w:rFonts w:cs="Arial"/>
          <w:b/>
        </w:rPr>
        <w:t>EQUALITY AND DIVERSITY IMPACT</w:t>
      </w:r>
    </w:p>
    <w:p w:rsidR="00911FD5" w:rsidRPr="008E1EAE" w:rsidRDefault="00911FD5" w:rsidP="00911FD5">
      <w:pPr>
        <w:ind w:left="567"/>
        <w:rPr>
          <w:rFonts w:cs="Arial"/>
          <w:b/>
        </w:rPr>
      </w:pPr>
    </w:p>
    <w:p w:rsidR="004C7703" w:rsidRPr="008E1EAE" w:rsidRDefault="004C7703" w:rsidP="004C7703">
      <w:pPr>
        <w:pStyle w:val="ListParagraph"/>
        <w:numPr>
          <w:ilvl w:val="0"/>
          <w:numId w:val="8"/>
        </w:numPr>
        <w:jc w:val="both"/>
        <w:rPr>
          <w:rFonts w:ascii="Arial" w:hAnsi="Arial" w:cs="Arial"/>
          <w:caps/>
        </w:rPr>
      </w:pPr>
      <w:r w:rsidRPr="008E1EAE">
        <w:rPr>
          <w:rFonts w:ascii="Arial" w:hAnsi="Arial" w:cs="Arial"/>
        </w:rPr>
        <w:t>There are no direct imp</w:t>
      </w:r>
      <w:r w:rsidR="00133939" w:rsidRPr="008E1EAE">
        <w:rPr>
          <w:rFonts w:ascii="Arial" w:hAnsi="Arial" w:cs="Arial"/>
        </w:rPr>
        <w:t>lications from adoption of the Single Use Plastics S</w:t>
      </w:r>
      <w:r w:rsidRPr="008E1EAE">
        <w:rPr>
          <w:rFonts w:ascii="Arial" w:hAnsi="Arial" w:cs="Arial"/>
        </w:rPr>
        <w:t>trategy.</w:t>
      </w:r>
    </w:p>
    <w:p w:rsidR="008770BE" w:rsidRPr="008E1EAE" w:rsidRDefault="008770BE" w:rsidP="008770BE">
      <w:pPr>
        <w:ind w:left="567"/>
        <w:rPr>
          <w:rFonts w:cs="Arial"/>
          <w:b/>
        </w:rPr>
      </w:pPr>
    </w:p>
    <w:p w:rsidR="002C71DE" w:rsidRPr="008E1EAE" w:rsidRDefault="001A24F9" w:rsidP="002C71DE">
      <w:pPr>
        <w:rPr>
          <w:rFonts w:cs="Arial"/>
          <w:b/>
        </w:rPr>
      </w:pPr>
      <w:r w:rsidRPr="008E1EAE">
        <w:rPr>
          <w:rFonts w:cs="Arial"/>
          <w:b/>
        </w:rPr>
        <w:t xml:space="preserve">RELEVANT DIRECTORS RECOMMENDATIONS </w:t>
      </w:r>
    </w:p>
    <w:p w:rsidR="002C71DE" w:rsidRPr="008E1EAE" w:rsidRDefault="002C71DE" w:rsidP="002C71DE">
      <w:pPr>
        <w:rPr>
          <w:rFonts w:cs="Arial"/>
          <w:b/>
        </w:rPr>
      </w:pPr>
    </w:p>
    <w:p w:rsidR="00AA732E" w:rsidRPr="008E1EAE" w:rsidRDefault="00AA732E" w:rsidP="00AA732E">
      <w:pPr>
        <w:pStyle w:val="ListParagraph"/>
        <w:numPr>
          <w:ilvl w:val="0"/>
          <w:numId w:val="8"/>
        </w:numPr>
        <w:rPr>
          <w:rFonts w:ascii="Arial" w:hAnsi="Arial" w:cs="Arial"/>
        </w:rPr>
      </w:pPr>
      <w:r w:rsidRPr="008E1EAE">
        <w:rPr>
          <w:rFonts w:ascii="Arial" w:hAnsi="Arial" w:cs="Arial"/>
        </w:rPr>
        <w:t>That the Single Use Plastics Strategy be adopted and the Climate Emergency Task Group be given the lead to develop, implement and achieve the goals of the Strategy with a view to reducing the amount of single use plastics used by Council operations.</w:t>
      </w:r>
    </w:p>
    <w:p w:rsidR="002C71DE" w:rsidRPr="008E1EAE" w:rsidRDefault="002C71DE" w:rsidP="00AA732E">
      <w:pPr>
        <w:rPr>
          <w:rFonts w:cs="Arial"/>
          <w:b/>
        </w:rPr>
      </w:pPr>
    </w:p>
    <w:p w:rsidR="000427E0" w:rsidRPr="008E1EAE" w:rsidRDefault="001A24F9" w:rsidP="002C71DE">
      <w:pPr>
        <w:rPr>
          <w:rFonts w:cs="Arial"/>
          <w:b/>
        </w:rPr>
      </w:pPr>
      <w:r w:rsidRPr="008E1EAE">
        <w:rPr>
          <w:rFonts w:cs="Arial"/>
          <w:b/>
        </w:rPr>
        <w:t>COMMENTS OF THE STATUTORY FINANCE OFFICE</w:t>
      </w:r>
      <w:r w:rsidR="000427E0" w:rsidRPr="008E1EAE">
        <w:rPr>
          <w:rFonts w:cs="Arial"/>
          <w:b/>
        </w:rPr>
        <w:t>R</w:t>
      </w:r>
    </w:p>
    <w:p w:rsidR="00911FD5" w:rsidRPr="008E1EAE" w:rsidRDefault="00911FD5" w:rsidP="00911FD5">
      <w:pPr>
        <w:ind w:left="567"/>
        <w:rPr>
          <w:rFonts w:cs="Arial"/>
          <w:b/>
        </w:rPr>
      </w:pPr>
    </w:p>
    <w:p w:rsidR="001A24F9" w:rsidRPr="008E1EAE" w:rsidRDefault="0096344F" w:rsidP="004C7703">
      <w:pPr>
        <w:pStyle w:val="ListParagraph"/>
        <w:numPr>
          <w:ilvl w:val="0"/>
          <w:numId w:val="8"/>
        </w:numPr>
        <w:rPr>
          <w:rFonts w:ascii="Arial" w:hAnsi="Arial" w:cs="Arial"/>
          <w:b/>
        </w:rPr>
      </w:pPr>
      <w:r w:rsidRPr="008E1EAE">
        <w:rPr>
          <w:rFonts w:ascii="Arial" w:hAnsi="Arial" w:cs="Arial"/>
        </w:rPr>
        <w:t xml:space="preserve">Please see the Financial Implications section above. </w:t>
      </w:r>
    </w:p>
    <w:p w:rsidR="001A24F9" w:rsidRPr="008E1EAE" w:rsidRDefault="001A24F9" w:rsidP="001A24F9">
      <w:pPr>
        <w:rPr>
          <w:rFonts w:cs="Arial"/>
          <w:b/>
          <w:i/>
        </w:rPr>
      </w:pPr>
    </w:p>
    <w:p w:rsidR="001A24F9" w:rsidRPr="008E1EAE" w:rsidRDefault="001A24F9" w:rsidP="002C71DE">
      <w:pPr>
        <w:rPr>
          <w:rFonts w:cs="Arial"/>
          <w:b/>
        </w:rPr>
      </w:pPr>
      <w:r w:rsidRPr="008E1EAE">
        <w:rPr>
          <w:rFonts w:cs="Arial"/>
          <w:b/>
        </w:rPr>
        <w:t>COMMENTS OF THE MONITORING OFFICER</w:t>
      </w:r>
    </w:p>
    <w:p w:rsidR="00911FD5" w:rsidRPr="008E1EAE" w:rsidRDefault="00911FD5" w:rsidP="00911FD5">
      <w:pPr>
        <w:ind w:left="567"/>
        <w:rPr>
          <w:rFonts w:cs="Arial"/>
          <w:b/>
        </w:rPr>
      </w:pPr>
    </w:p>
    <w:p w:rsidR="00352979" w:rsidRPr="008E1EAE" w:rsidRDefault="00352979" w:rsidP="00352979">
      <w:pPr>
        <w:pStyle w:val="ListParagraph"/>
        <w:numPr>
          <w:ilvl w:val="0"/>
          <w:numId w:val="8"/>
        </w:numPr>
        <w:rPr>
          <w:rFonts w:ascii="Arial" w:hAnsi="Arial" w:cs="Arial"/>
        </w:rPr>
      </w:pPr>
      <w:r w:rsidRPr="008E1EAE">
        <w:rPr>
          <w:rFonts w:ascii="Arial" w:hAnsi="Arial" w:cs="Arial"/>
        </w:rPr>
        <w:lastRenderedPageBreak/>
        <w:t>There are no legal implications arising from this report. Clearly the council as a responsible public authority ought to be setting a good example on environmental issues of this type. This of course also extends to influencing our partner organisations to take action in this regard.</w:t>
      </w:r>
    </w:p>
    <w:p w:rsidR="000427E0" w:rsidRPr="008E1EAE" w:rsidRDefault="000427E0" w:rsidP="00352979">
      <w:pPr>
        <w:ind w:left="720"/>
        <w:rPr>
          <w:rFonts w:cs="Arial"/>
          <w:b/>
          <w:color w:val="2E74B5" w:themeColor="accent1" w:themeShade="BF"/>
        </w:rPr>
      </w:pPr>
    </w:p>
    <w:p w:rsidR="000427E0" w:rsidRPr="008E1EAE" w:rsidRDefault="000427E0" w:rsidP="000427E0">
      <w:pPr>
        <w:ind w:left="567"/>
        <w:rPr>
          <w:rFonts w:cs="Arial"/>
          <w:b/>
        </w:rPr>
      </w:pPr>
    </w:p>
    <w:p w:rsidR="001A24F9" w:rsidRPr="008E1EAE" w:rsidRDefault="004C2F94" w:rsidP="002C71DE">
      <w:pPr>
        <w:rPr>
          <w:rFonts w:cs="Arial"/>
          <w:b/>
        </w:rPr>
      </w:pPr>
      <w:r w:rsidRPr="008E1EAE">
        <w:rPr>
          <w:rFonts w:cs="Arial"/>
          <w:b/>
        </w:rPr>
        <w:t xml:space="preserve">BACKGROUND DOCUMENTS </w:t>
      </w:r>
    </w:p>
    <w:p w:rsidR="00911FD5" w:rsidRPr="008E1EAE" w:rsidRDefault="00911FD5" w:rsidP="00911FD5">
      <w:pPr>
        <w:ind w:left="567"/>
        <w:rPr>
          <w:rFonts w:cs="Arial"/>
          <w:b/>
        </w:rPr>
      </w:pPr>
    </w:p>
    <w:p w:rsidR="00BC74E3" w:rsidRPr="008E1EAE" w:rsidRDefault="008E1EAE" w:rsidP="00B7312E">
      <w:pPr>
        <w:ind w:left="720"/>
        <w:rPr>
          <w:rFonts w:cs="Arial"/>
          <w:i/>
          <w:color w:val="2E74B5" w:themeColor="accent1" w:themeShade="BF"/>
        </w:rPr>
      </w:pPr>
      <w:hyperlink r:id="rId8" w:history="1">
        <w:r w:rsidR="000D6633" w:rsidRPr="008E1EAE">
          <w:rPr>
            <w:rStyle w:val="Hyperlink"/>
            <w:rFonts w:cs="Arial"/>
            <w:i/>
          </w:rPr>
          <w:t>http://www.plasticfreechallenge.org/what-is-single-use-plastic</w:t>
        </w:r>
      </w:hyperlink>
      <w:r w:rsidR="000D6633" w:rsidRPr="008E1EAE">
        <w:rPr>
          <w:rFonts w:cs="Arial"/>
          <w:i/>
          <w:color w:val="2E74B5" w:themeColor="accent1" w:themeShade="BF"/>
        </w:rPr>
        <w:t xml:space="preserve"> </w:t>
      </w:r>
    </w:p>
    <w:p w:rsidR="004C2F94" w:rsidRPr="008E1EAE" w:rsidRDefault="004C2F94" w:rsidP="008C5634">
      <w:pPr>
        <w:spacing w:before="240"/>
        <w:rPr>
          <w:rFonts w:cs="Arial"/>
          <w:b/>
        </w:rPr>
      </w:pPr>
      <w:r w:rsidRPr="008E1EAE">
        <w:rPr>
          <w:rFonts w:cs="Arial"/>
          <w:b/>
        </w:rPr>
        <w:t xml:space="preserve">APPENDICES </w:t>
      </w:r>
    </w:p>
    <w:p w:rsidR="0037228A" w:rsidRPr="008E1EAE" w:rsidRDefault="000D6633" w:rsidP="002C71DE">
      <w:pPr>
        <w:rPr>
          <w:rFonts w:cs="Arial"/>
        </w:rPr>
      </w:pPr>
      <w:r w:rsidRPr="008E1EAE">
        <w:rPr>
          <w:rFonts w:cs="Arial"/>
        </w:rPr>
        <w:t>Appendix A</w:t>
      </w:r>
      <w:r w:rsidR="00B7312E" w:rsidRPr="008E1EAE">
        <w:rPr>
          <w:rFonts w:cs="Arial"/>
          <w:color w:val="FF0000"/>
        </w:rPr>
        <w:t>:</w:t>
      </w:r>
      <w:r w:rsidRPr="008E1EAE">
        <w:rPr>
          <w:rFonts w:cs="Arial"/>
        </w:rPr>
        <w:t xml:space="preserve"> Single use Plastics Strategy</w:t>
      </w:r>
    </w:p>
    <w:p w:rsidR="008C5634" w:rsidRPr="008E1EAE" w:rsidRDefault="008C5634" w:rsidP="0037228A">
      <w:pPr>
        <w:tabs>
          <w:tab w:val="left" w:pos="2839"/>
        </w:tabs>
        <w:ind w:left="426" w:hanging="426"/>
        <w:rPr>
          <w:rFonts w:cs="Arial"/>
        </w:rPr>
      </w:pPr>
    </w:p>
    <w:p w:rsidR="0037228A" w:rsidRPr="008E1EAE" w:rsidRDefault="004C7703" w:rsidP="0037228A">
      <w:pPr>
        <w:tabs>
          <w:tab w:val="left" w:pos="2839"/>
        </w:tabs>
        <w:ind w:left="426" w:hanging="426"/>
        <w:rPr>
          <w:rFonts w:cs="Arial"/>
        </w:rPr>
      </w:pPr>
      <w:r w:rsidRPr="008E1EAE">
        <w:rPr>
          <w:rFonts w:cs="Arial"/>
        </w:rPr>
        <w:t>Jennifer Mullin</w:t>
      </w:r>
    </w:p>
    <w:p w:rsidR="008C5634" w:rsidRDefault="004C7703" w:rsidP="0037228A">
      <w:pPr>
        <w:tabs>
          <w:tab w:val="left" w:pos="2839"/>
        </w:tabs>
        <w:rPr>
          <w:rFonts w:cs="Arial"/>
        </w:rPr>
      </w:pPr>
      <w:r w:rsidRPr="008E1EAE">
        <w:rPr>
          <w:rFonts w:cs="Arial"/>
        </w:rPr>
        <w:t>Director of Neighbourhoods and Development</w:t>
      </w:r>
    </w:p>
    <w:p w:rsidR="008E1EAE" w:rsidRPr="008E1EAE" w:rsidRDefault="008E1EAE" w:rsidP="0037228A">
      <w:pPr>
        <w:tabs>
          <w:tab w:val="left" w:pos="2839"/>
        </w:tabs>
        <w:rPr>
          <w:rFonts w:cs="Arial"/>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742"/>
        <w:gridCol w:w="2355"/>
      </w:tblGrid>
      <w:tr w:rsidR="0037228A" w:rsidRPr="008E1EAE" w:rsidTr="00B7312E">
        <w:tc>
          <w:tcPr>
            <w:tcW w:w="4423" w:type="dxa"/>
            <w:shd w:val="clear" w:color="auto" w:fill="auto"/>
          </w:tcPr>
          <w:p w:rsidR="0037228A" w:rsidRPr="008E1EAE" w:rsidRDefault="0037228A" w:rsidP="0031059E">
            <w:pPr>
              <w:rPr>
                <w:rFonts w:cs="Arial"/>
              </w:rPr>
            </w:pPr>
            <w:r w:rsidRPr="008E1EAE">
              <w:rPr>
                <w:rFonts w:cs="Arial"/>
              </w:rPr>
              <w:t>Report Author:</w:t>
            </w:r>
          </w:p>
        </w:tc>
        <w:tc>
          <w:tcPr>
            <w:tcW w:w="2742" w:type="dxa"/>
            <w:shd w:val="clear" w:color="auto" w:fill="auto"/>
          </w:tcPr>
          <w:p w:rsidR="0037228A" w:rsidRPr="008E1EAE" w:rsidRDefault="00E66713" w:rsidP="0031059E">
            <w:pPr>
              <w:rPr>
                <w:rFonts w:cs="Arial"/>
              </w:rPr>
            </w:pPr>
            <w:r w:rsidRPr="008E1EAE">
              <w:rPr>
                <w:rFonts w:cs="Arial"/>
              </w:rPr>
              <w:t>Telephone</w:t>
            </w:r>
            <w:r w:rsidR="0037228A" w:rsidRPr="008E1EAE">
              <w:rPr>
                <w:rFonts w:cs="Arial"/>
              </w:rPr>
              <w:t>:</w:t>
            </w:r>
          </w:p>
        </w:tc>
        <w:tc>
          <w:tcPr>
            <w:tcW w:w="2355" w:type="dxa"/>
            <w:shd w:val="clear" w:color="auto" w:fill="auto"/>
          </w:tcPr>
          <w:p w:rsidR="0037228A" w:rsidRPr="008E1EAE" w:rsidRDefault="0037228A" w:rsidP="0031059E">
            <w:pPr>
              <w:rPr>
                <w:rFonts w:cs="Arial"/>
              </w:rPr>
            </w:pPr>
            <w:r w:rsidRPr="008E1EAE">
              <w:rPr>
                <w:rFonts w:cs="Arial"/>
              </w:rPr>
              <w:t>Date:</w:t>
            </w:r>
          </w:p>
        </w:tc>
      </w:tr>
      <w:tr w:rsidR="0037228A" w:rsidRPr="008E1EAE" w:rsidTr="00B7312E">
        <w:tc>
          <w:tcPr>
            <w:tcW w:w="4423" w:type="dxa"/>
            <w:shd w:val="clear" w:color="auto" w:fill="auto"/>
          </w:tcPr>
          <w:p w:rsidR="0037228A" w:rsidRPr="008E1EAE" w:rsidRDefault="00AA732E" w:rsidP="00B7312E">
            <w:pPr>
              <w:rPr>
                <w:rFonts w:cs="Arial"/>
              </w:rPr>
            </w:pPr>
            <w:r w:rsidRPr="008E1EAE">
              <w:rPr>
                <w:rFonts w:cs="Arial"/>
              </w:rPr>
              <w:t>Neil Martin</w:t>
            </w:r>
          </w:p>
        </w:tc>
        <w:tc>
          <w:tcPr>
            <w:tcW w:w="2742" w:type="dxa"/>
            <w:shd w:val="clear" w:color="auto" w:fill="auto"/>
          </w:tcPr>
          <w:p w:rsidR="0037228A" w:rsidRPr="008E1EAE" w:rsidRDefault="00621D7D" w:rsidP="000D6633">
            <w:pPr>
              <w:rPr>
                <w:rFonts w:cs="Arial"/>
              </w:rPr>
            </w:pPr>
            <w:r w:rsidRPr="008E1EAE">
              <w:rPr>
                <w:rFonts w:cs="Arial"/>
              </w:rPr>
              <w:t>01772 62</w:t>
            </w:r>
            <w:r w:rsidR="000D6633" w:rsidRPr="008E1EAE">
              <w:rPr>
                <w:rFonts w:cs="Arial"/>
              </w:rPr>
              <w:t>5336</w:t>
            </w:r>
          </w:p>
        </w:tc>
        <w:tc>
          <w:tcPr>
            <w:tcW w:w="2355" w:type="dxa"/>
            <w:shd w:val="clear" w:color="auto" w:fill="auto"/>
          </w:tcPr>
          <w:p w:rsidR="0037228A" w:rsidRPr="008E1EAE" w:rsidRDefault="00AA732E" w:rsidP="0031059E">
            <w:pPr>
              <w:rPr>
                <w:rFonts w:cs="Arial"/>
              </w:rPr>
            </w:pPr>
            <w:r w:rsidRPr="008E1EAE">
              <w:rPr>
                <w:rFonts w:cs="Arial"/>
              </w:rPr>
              <w:t>13/08/19</w:t>
            </w:r>
          </w:p>
        </w:tc>
      </w:tr>
    </w:tbl>
    <w:p w:rsidR="002F5C5E" w:rsidRPr="008E1EAE" w:rsidRDefault="002F5C5E" w:rsidP="00B7312E">
      <w:pPr>
        <w:rPr>
          <w:rFonts w:cs="Arial"/>
        </w:rPr>
      </w:pPr>
    </w:p>
    <w:sectPr w:rsidR="002F5C5E" w:rsidRPr="008E1EAE"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CCC" w:rsidRDefault="00A83CCC">
      <w:r>
        <w:separator/>
      </w:r>
    </w:p>
  </w:endnote>
  <w:endnote w:type="continuationSeparator" w:id="0">
    <w:p w:rsidR="00A83CCC" w:rsidRDefault="00A8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Roboto Condensed">
    <w:altName w:val="Roboto 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CCC" w:rsidRDefault="00A83CCC">
      <w:r>
        <w:separator/>
      </w:r>
    </w:p>
  </w:footnote>
  <w:footnote w:type="continuationSeparator" w:id="0">
    <w:p w:rsidR="00A83CCC" w:rsidRDefault="00A83CCC">
      <w:r>
        <w:continuationSeparator/>
      </w:r>
    </w:p>
  </w:footnote>
  <w:footnote w:id="1">
    <w:p w:rsidR="006F095D" w:rsidRDefault="006F095D" w:rsidP="006F095D">
      <w:pPr>
        <w:pStyle w:val="FootnoteText"/>
      </w:pPr>
      <w:r>
        <w:rPr>
          <w:rStyle w:val="FootnoteReference"/>
        </w:rPr>
        <w:footnoteRef/>
      </w:r>
      <w:r>
        <w:t xml:space="preserve"> </w:t>
      </w:r>
      <w:r>
        <w:rPr>
          <w:color w:val="000000"/>
        </w:rPr>
        <w:t>GESAMP, 2015a</w:t>
      </w:r>
    </w:p>
  </w:footnote>
  <w:footnote w:id="2">
    <w:p w:rsidR="006F095D" w:rsidRDefault="006F095D" w:rsidP="006F095D">
      <w:pPr>
        <w:pStyle w:val="FootnoteText"/>
      </w:pPr>
      <w:r>
        <w:rPr>
          <w:rStyle w:val="FootnoteReference"/>
        </w:rPr>
        <w:footnoteRef/>
      </w:r>
      <w:r>
        <w:t xml:space="preserve"> </w:t>
      </w:r>
      <w:r>
        <w:rPr>
          <w:rFonts w:cs="Roboto Condensed"/>
          <w:color w:val="000000"/>
          <w:sz w:val="16"/>
          <w:szCs w:val="16"/>
        </w:rPr>
        <w:t>Geyer, Jambeck, and Law, 2017</w:t>
      </w:r>
    </w:p>
  </w:footnote>
  <w:footnote w:id="3">
    <w:p w:rsidR="006F095D" w:rsidRDefault="006F095D" w:rsidP="006F095D">
      <w:pPr>
        <w:pStyle w:val="FootnoteText"/>
      </w:pPr>
      <w:r>
        <w:rPr>
          <w:rStyle w:val="FootnoteReference"/>
        </w:rPr>
        <w:footnoteRef/>
      </w:r>
      <w:r>
        <w:t xml:space="preserve"> https://www.theguardian.com/commentisfree/2018/oct/23/humans-contain-plastic-waste-drastic-banning-straws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181"/>
    <w:multiLevelType w:val="multilevel"/>
    <w:tmpl w:val="057CDCFC"/>
    <w:lvl w:ilvl="0">
      <w:start w:val="1"/>
      <w:numFmt w:val="decimal"/>
      <w:lvlText w:val="%1."/>
      <w:lvlJc w:val="left"/>
      <w:pPr>
        <w:ind w:left="1080" w:hanging="360"/>
      </w:pPr>
      <w:rPr>
        <w:rFonts w:hint="default"/>
        <w:b w:val="0"/>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04FC5D8A"/>
    <w:multiLevelType w:val="multilevel"/>
    <w:tmpl w:val="057CDCFC"/>
    <w:lvl w:ilvl="0">
      <w:start w:val="1"/>
      <w:numFmt w:val="decimal"/>
      <w:lvlText w:val="%1."/>
      <w:lvlJc w:val="left"/>
      <w:pPr>
        <w:ind w:left="1080" w:hanging="360"/>
      </w:pPr>
      <w:rPr>
        <w:rFonts w:hint="default"/>
        <w:b w:val="0"/>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057CDCFC"/>
    <w:lvl w:ilvl="0">
      <w:start w:val="1"/>
      <w:numFmt w:val="decimal"/>
      <w:lvlText w:val="%1."/>
      <w:lvlJc w:val="left"/>
      <w:pPr>
        <w:ind w:left="1080" w:hanging="360"/>
      </w:pPr>
      <w:rPr>
        <w:rFonts w:hint="default"/>
        <w:b w:val="0"/>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702A0C"/>
    <w:multiLevelType w:val="multilevel"/>
    <w:tmpl w:val="057CDCFC"/>
    <w:lvl w:ilvl="0">
      <w:start w:val="1"/>
      <w:numFmt w:val="decimal"/>
      <w:lvlText w:val="%1."/>
      <w:lvlJc w:val="left"/>
      <w:pPr>
        <w:ind w:left="1080" w:hanging="360"/>
      </w:pPr>
      <w:rPr>
        <w:rFonts w:hint="default"/>
        <w:b w:val="0"/>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F17808"/>
    <w:multiLevelType w:val="hybridMultilevel"/>
    <w:tmpl w:val="3A8432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3165E2F"/>
    <w:multiLevelType w:val="multilevel"/>
    <w:tmpl w:val="057CDCFC"/>
    <w:lvl w:ilvl="0">
      <w:start w:val="1"/>
      <w:numFmt w:val="decimal"/>
      <w:lvlText w:val="%1."/>
      <w:lvlJc w:val="left"/>
      <w:pPr>
        <w:ind w:left="1080" w:hanging="360"/>
      </w:pPr>
      <w:rPr>
        <w:rFonts w:hint="default"/>
        <w:b w:val="0"/>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58811272"/>
    <w:multiLevelType w:val="multilevel"/>
    <w:tmpl w:val="057CDCFC"/>
    <w:lvl w:ilvl="0">
      <w:start w:val="1"/>
      <w:numFmt w:val="decimal"/>
      <w:lvlText w:val="%1."/>
      <w:lvlJc w:val="left"/>
      <w:pPr>
        <w:ind w:left="1080" w:hanging="360"/>
      </w:pPr>
      <w:rPr>
        <w:rFonts w:hint="default"/>
        <w:b w:val="0"/>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8"/>
  </w:num>
  <w:num w:numId="5">
    <w:abstractNumId w:val="10"/>
  </w:num>
  <w:num w:numId="6">
    <w:abstractNumId w:val="7"/>
  </w:num>
  <w:num w:numId="7">
    <w:abstractNumId w:val="4"/>
  </w:num>
  <w:num w:numId="8">
    <w:abstractNumId w:val="5"/>
  </w:num>
  <w:num w:numId="9">
    <w:abstractNumId w:val="2"/>
  </w:num>
  <w:num w:numId="10">
    <w:abstractNumId w:val="3"/>
  </w:num>
  <w:num w:numId="11">
    <w:abstractNumId w:val="6"/>
  </w:num>
  <w:num w:numId="12">
    <w:abstractNumId w:val="12"/>
  </w:num>
  <w:num w:numId="13">
    <w:abstractNumId w:val="14"/>
  </w:num>
  <w:num w:numId="14">
    <w:abstractNumId w:val="0"/>
  </w:num>
  <w:num w:numId="15">
    <w:abstractNumId w:val="11"/>
  </w:num>
  <w:num w:numId="16">
    <w:abstractNumId w:val="16"/>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23023"/>
    <w:rsid w:val="000427E0"/>
    <w:rsid w:val="00044775"/>
    <w:rsid w:val="00044F11"/>
    <w:rsid w:val="0006370A"/>
    <w:rsid w:val="00077488"/>
    <w:rsid w:val="000828CC"/>
    <w:rsid w:val="0009466B"/>
    <w:rsid w:val="000A5586"/>
    <w:rsid w:val="000D40AB"/>
    <w:rsid w:val="000D6633"/>
    <w:rsid w:val="000E10FE"/>
    <w:rsid w:val="000E5A3B"/>
    <w:rsid w:val="000F2C8A"/>
    <w:rsid w:val="0010115F"/>
    <w:rsid w:val="00116662"/>
    <w:rsid w:val="00133939"/>
    <w:rsid w:val="001544DD"/>
    <w:rsid w:val="00167AEF"/>
    <w:rsid w:val="00176159"/>
    <w:rsid w:val="00184E1D"/>
    <w:rsid w:val="0019545D"/>
    <w:rsid w:val="001A24F9"/>
    <w:rsid w:val="00207251"/>
    <w:rsid w:val="002221BD"/>
    <w:rsid w:val="0025591B"/>
    <w:rsid w:val="0025709E"/>
    <w:rsid w:val="002820A5"/>
    <w:rsid w:val="00284FD5"/>
    <w:rsid w:val="00294520"/>
    <w:rsid w:val="002C71DE"/>
    <w:rsid w:val="002D4745"/>
    <w:rsid w:val="002D7D9A"/>
    <w:rsid w:val="002E4FF4"/>
    <w:rsid w:val="002F5C5E"/>
    <w:rsid w:val="0031059E"/>
    <w:rsid w:val="00331D5F"/>
    <w:rsid w:val="00333BBD"/>
    <w:rsid w:val="00345C71"/>
    <w:rsid w:val="00352979"/>
    <w:rsid w:val="00357F6B"/>
    <w:rsid w:val="0037228A"/>
    <w:rsid w:val="00386AAD"/>
    <w:rsid w:val="003A1B3F"/>
    <w:rsid w:val="003A23D3"/>
    <w:rsid w:val="003A2919"/>
    <w:rsid w:val="003A2991"/>
    <w:rsid w:val="003B1E6D"/>
    <w:rsid w:val="003C36EB"/>
    <w:rsid w:val="003D3DEB"/>
    <w:rsid w:val="003E33E6"/>
    <w:rsid w:val="003F5603"/>
    <w:rsid w:val="003F6913"/>
    <w:rsid w:val="00405D4A"/>
    <w:rsid w:val="00407A09"/>
    <w:rsid w:val="004155DC"/>
    <w:rsid w:val="0041646D"/>
    <w:rsid w:val="004218EA"/>
    <w:rsid w:val="00442C46"/>
    <w:rsid w:val="0045553F"/>
    <w:rsid w:val="00467204"/>
    <w:rsid w:val="00474DA8"/>
    <w:rsid w:val="0048217E"/>
    <w:rsid w:val="00491976"/>
    <w:rsid w:val="004A45D4"/>
    <w:rsid w:val="004C2F94"/>
    <w:rsid w:val="004C7703"/>
    <w:rsid w:val="004D7260"/>
    <w:rsid w:val="004F23B3"/>
    <w:rsid w:val="0050340F"/>
    <w:rsid w:val="005041BB"/>
    <w:rsid w:val="00517D50"/>
    <w:rsid w:val="00533525"/>
    <w:rsid w:val="00534B4A"/>
    <w:rsid w:val="00537F51"/>
    <w:rsid w:val="00547120"/>
    <w:rsid w:val="00547481"/>
    <w:rsid w:val="00552DBD"/>
    <w:rsid w:val="00576A82"/>
    <w:rsid w:val="00594D09"/>
    <w:rsid w:val="005A26AD"/>
    <w:rsid w:val="005B0C36"/>
    <w:rsid w:val="005B73E9"/>
    <w:rsid w:val="005D4F59"/>
    <w:rsid w:val="0060374B"/>
    <w:rsid w:val="00610A92"/>
    <w:rsid w:val="00621D7D"/>
    <w:rsid w:val="00630F86"/>
    <w:rsid w:val="00633396"/>
    <w:rsid w:val="00645A0B"/>
    <w:rsid w:val="0065176C"/>
    <w:rsid w:val="006555E6"/>
    <w:rsid w:val="006879CA"/>
    <w:rsid w:val="00693EE6"/>
    <w:rsid w:val="006B645E"/>
    <w:rsid w:val="006B66A7"/>
    <w:rsid w:val="006B7116"/>
    <w:rsid w:val="006C04C1"/>
    <w:rsid w:val="006C209A"/>
    <w:rsid w:val="006C41CC"/>
    <w:rsid w:val="006E09FB"/>
    <w:rsid w:val="006E0ECA"/>
    <w:rsid w:val="006F095D"/>
    <w:rsid w:val="006F48FD"/>
    <w:rsid w:val="00702D95"/>
    <w:rsid w:val="00703DE3"/>
    <w:rsid w:val="00707E99"/>
    <w:rsid w:val="00712E3F"/>
    <w:rsid w:val="00725699"/>
    <w:rsid w:val="007A0801"/>
    <w:rsid w:val="007E17D5"/>
    <w:rsid w:val="00814F6D"/>
    <w:rsid w:val="008521C0"/>
    <w:rsid w:val="00857921"/>
    <w:rsid w:val="008770BE"/>
    <w:rsid w:val="00893AD2"/>
    <w:rsid w:val="008A2F6B"/>
    <w:rsid w:val="008A42E3"/>
    <w:rsid w:val="008A77AB"/>
    <w:rsid w:val="008B41C5"/>
    <w:rsid w:val="008C04DA"/>
    <w:rsid w:val="008C1DBF"/>
    <w:rsid w:val="008C3B1A"/>
    <w:rsid w:val="008C5634"/>
    <w:rsid w:val="008D623F"/>
    <w:rsid w:val="008E1EAE"/>
    <w:rsid w:val="008F4B91"/>
    <w:rsid w:val="0090542C"/>
    <w:rsid w:val="009063C4"/>
    <w:rsid w:val="00911FD5"/>
    <w:rsid w:val="009350CB"/>
    <w:rsid w:val="009538AE"/>
    <w:rsid w:val="0096344F"/>
    <w:rsid w:val="00970C70"/>
    <w:rsid w:val="00980267"/>
    <w:rsid w:val="00983CD5"/>
    <w:rsid w:val="009846F1"/>
    <w:rsid w:val="00992E79"/>
    <w:rsid w:val="009A714A"/>
    <w:rsid w:val="009C1143"/>
    <w:rsid w:val="009E233A"/>
    <w:rsid w:val="009E48E0"/>
    <w:rsid w:val="00A1406A"/>
    <w:rsid w:val="00A162DE"/>
    <w:rsid w:val="00A2078A"/>
    <w:rsid w:val="00A22D02"/>
    <w:rsid w:val="00A30426"/>
    <w:rsid w:val="00A43D5A"/>
    <w:rsid w:val="00A445C9"/>
    <w:rsid w:val="00A4702E"/>
    <w:rsid w:val="00A50754"/>
    <w:rsid w:val="00A62C20"/>
    <w:rsid w:val="00A67215"/>
    <w:rsid w:val="00A7541A"/>
    <w:rsid w:val="00A76482"/>
    <w:rsid w:val="00A83CCC"/>
    <w:rsid w:val="00A975A7"/>
    <w:rsid w:val="00AA732E"/>
    <w:rsid w:val="00AB3D95"/>
    <w:rsid w:val="00AC4A99"/>
    <w:rsid w:val="00AF0A33"/>
    <w:rsid w:val="00B05FE8"/>
    <w:rsid w:val="00B1788B"/>
    <w:rsid w:val="00B36528"/>
    <w:rsid w:val="00B443DD"/>
    <w:rsid w:val="00B51DB8"/>
    <w:rsid w:val="00B62D79"/>
    <w:rsid w:val="00B67225"/>
    <w:rsid w:val="00B70B91"/>
    <w:rsid w:val="00B716F5"/>
    <w:rsid w:val="00B72A06"/>
    <w:rsid w:val="00B7312E"/>
    <w:rsid w:val="00B766C4"/>
    <w:rsid w:val="00B9238D"/>
    <w:rsid w:val="00BA2606"/>
    <w:rsid w:val="00BC6635"/>
    <w:rsid w:val="00BC74E3"/>
    <w:rsid w:val="00BD2AFE"/>
    <w:rsid w:val="00BE0127"/>
    <w:rsid w:val="00C022F9"/>
    <w:rsid w:val="00C1588B"/>
    <w:rsid w:val="00C209E3"/>
    <w:rsid w:val="00C30128"/>
    <w:rsid w:val="00C52450"/>
    <w:rsid w:val="00C64ED1"/>
    <w:rsid w:val="00C65FF9"/>
    <w:rsid w:val="00C66BAA"/>
    <w:rsid w:val="00C6778C"/>
    <w:rsid w:val="00C80A48"/>
    <w:rsid w:val="00C8325D"/>
    <w:rsid w:val="00CB32DF"/>
    <w:rsid w:val="00CC3246"/>
    <w:rsid w:val="00CC4337"/>
    <w:rsid w:val="00CE1656"/>
    <w:rsid w:val="00CE3DA1"/>
    <w:rsid w:val="00CE4482"/>
    <w:rsid w:val="00CF6B60"/>
    <w:rsid w:val="00D10AC1"/>
    <w:rsid w:val="00D36638"/>
    <w:rsid w:val="00D37745"/>
    <w:rsid w:val="00D37BAE"/>
    <w:rsid w:val="00D772AB"/>
    <w:rsid w:val="00D90A00"/>
    <w:rsid w:val="00D91845"/>
    <w:rsid w:val="00D9371C"/>
    <w:rsid w:val="00DA589A"/>
    <w:rsid w:val="00DB3FD0"/>
    <w:rsid w:val="00DB4EB8"/>
    <w:rsid w:val="00DB6F5A"/>
    <w:rsid w:val="00DE0324"/>
    <w:rsid w:val="00DE5E12"/>
    <w:rsid w:val="00E048CF"/>
    <w:rsid w:val="00E2276E"/>
    <w:rsid w:val="00E41950"/>
    <w:rsid w:val="00E50A9C"/>
    <w:rsid w:val="00E51F90"/>
    <w:rsid w:val="00E569CB"/>
    <w:rsid w:val="00E577A2"/>
    <w:rsid w:val="00E60A53"/>
    <w:rsid w:val="00E66713"/>
    <w:rsid w:val="00E733A5"/>
    <w:rsid w:val="00E753EC"/>
    <w:rsid w:val="00E84459"/>
    <w:rsid w:val="00E971A2"/>
    <w:rsid w:val="00EB7B0D"/>
    <w:rsid w:val="00EB7C94"/>
    <w:rsid w:val="00ED257A"/>
    <w:rsid w:val="00ED57B4"/>
    <w:rsid w:val="00EE1A41"/>
    <w:rsid w:val="00EF3B6C"/>
    <w:rsid w:val="00EF40C3"/>
    <w:rsid w:val="00F05118"/>
    <w:rsid w:val="00F3057A"/>
    <w:rsid w:val="00F30E9C"/>
    <w:rsid w:val="00F55E4D"/>
    <w:rsid w:val="00F61752"/>
    <w:rsid w:val="00F96B67"/>
    <w:rsid w:val="00FB4CD1"/>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FootnoteText">
    <w:name w:val="footnote text"/>
    <w:basedOn w:val="Normal"/>
    <w:link w:val="FootnoteTextChar"/>
    <w:uiPriority w:val="99"/>
    <w:semiHidden/>
    <w:unhideWhenUsed/>
    <w:rsid w:val="006F095D"/>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6F095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F0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1549">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483231952">
      <w:bodyDiv w:val="1"/>
      <w:marLeft w:val="0"/>
      <w:marRight w:val="0"/>
      <w:marTop w:val="0"/>
      <w:marBottom w:val="0"/>
      <w:divBdr>
        <w:top w:val="none" w:sz="0" w:space="0" w:color="auto"/>
        <w:left w:val="none" w:sz="0" w:space="0" w:color="auto"/>
        <w:bottom w:val="none" w:sz="0" w:space="0" w:color="auto"/>
        <w:right w:val="none" w:sz="0" w:space="0" w:color="auto"/>
      </w:divBdr>
    </w:div>
    <w:div w:id="1526291824">
      <w:bodyDiv w:val="1"/>
      <w:marLeft w:val="0"/>
      <w:marRight w:val="0"/>
      <w:marTop w:val="0"/>
      <w:marBottom w:val="0"/>
      <w:divBdr>
        <w:top w:val="none" w:sz="0" w:space="0" w:color="auto"/>
        <w:left w:val="none" w:sz="0" w:space="0" w:color="auto"/>
        <w:bottom w:val="none" w:sz="0" w:space="0" w:color="auto"/>
        <w:right w:val="none" w:sz="0" w:space="0" w:color="auto"/>
      </w:divBdr>
    </w:div>
    <w:div w:id="1528905910">
      <w:bodyDiv w:val="1"/>
      <w:marLeft w:val="0"/>
      <w:marRight w:val="0"/>
      <w:marTop w:val="0"/>
      <w:marBottom w:val="0"/>
      <w:divBdr>
        <w:top w:val="none" w:sz="0" w:space="0" w:color="auto"/>
        <w:left w:val="none" w:sz="0" w:space="0" w:color="auto"/>
        <w:bottom w:val="none" w:sz="0" w:space="0" w:color="auto"/>
        <w:right w:val="none" w:sz="0" w:space="0" w:color="auto"/>
      </w:divBdr>
    </w:div>
    <w:div w:id="17722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sticfreechallenge.org/what-is-single-use-plasti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2</TotalTime>
  <Pages>4</Pages>
  <Words>1207</Words>
  <Characters>6581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2018-03-14T11:21:00Z</cp:lastPrinted>
  <dcterms:created xsi:type="dcterms:W3CDTF">2019-09-02T08:08:00Z</dcterms:created>
  <dcterms:modified xsi:type="dcterms:W3CDTF">2019-09-02T08:08:00Z</dcterms:modified>
</cp:coreProperties>
</file>